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Layout w:type="fixed"/>
      </w:tblPr>
      <w:tblGrid>
        <w:gridCol w:w="1526"/>
        <w:gridCol w:w="8898"/>
      </w:tblGrid>
      <w:tr>
        <w:trPr>
          <w:trHeight w:hRule="atLeast" w:val="1365"/>
        </w:trPr>
        <w:tc>
          <w:tcPr>
            <w:tcW w:type="dxa" w:w="1526"/>
            <w:shd w:fill="auto" w:val="clear"/>
          </w:tcPr>
          <w:p w14:paraId="01000000">
            <w:r>
              <w:drawing>
                <wp:inline>
                  <wp:extent cx="588010" cy="584835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1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588010" cy="58483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8898"/>
            <w:shd w:fill="auto" w:val="clear"/>
          </w:tcPr>
          <w:p w14:paraId="02000000"/>
          <w:p w14:paraId="03000000">
            <w:pPr>
              <w:rPr>
                <w:color w:val="BFBFBF"/>
              </w:rPr>
            </w:pPr>
            <w:r>
              <w:rPr>
                <w:color w:val="BFBFBF"/>
              </w:rPr>
              <w:t>УПРАВЛЕНИЕ ФЕДЕРАЛЬНОЙ НАЛОГОВОЙ СЛУЖБЫ</w:t>
            </w:r>
          </w:p>
          <w:p w14:paraId="04000000">
            <w:pPr>
              <w:rPr>
                <w:color w:val="BFBFBF"/>
              </w:rPr>
            </w:pPr>
            <w:r>
              <w:rPr>
                <w:color w:val="BFBFBF"/>
              </w:rPr>
              <w:t>ПО КЕМЕРОВСКОЙ ОБЛАСТИ - КУЗБАССУ</w:t>
            </w:r>
          </w:p>
          <w:p w14:paraId="05000000"/>
        </w:tc>
      </w:tr>
    </w:tbl>
    <w:p w14:paraId="06000000">
      <w:pPr>
        <w:ind/>
        <w:jc w:val="center"/>
        <w:rPr>
          <w:b w:val="1"/>
        </w:rPr>
      </w:pPr>
    </w:p>
    <w:p w14:paraId="07000000">
      <w:pPr>
        <w:ind/>
        <w:jc w:val="center"/>
        <w:rPr>
          <w:b w:val="1"/>
        </w:rPr>
      </w:pPr>
      <w:r>
        <w:rPr>
          <w:b w:val="1"/>
        </w:rPr>
        <w:t>ПРОГРАММА</w:t>
      </w:r>
    </w:p>
    <w:p w14:paraId="08000000">
      <w:pPr>
        <w:ind/>
        <w:jc w:val="center"/>
      </w:pPr>
      <w:r>
        <w:t>проведения с налогоплательщиками семинара</w:t>
      </w:r>
      <w:r>
        <w:t>-совещания</w:t>
      </w:r>
    </w:p>
    <w:p w14:paraId="09000000">
      <w:pPr>
        <w:ind/>
        <w:jc w:val="center"/>
        <w:rPr>
          <w:b w:val="1"/>
        </w:rPr>
      </w:pPr>
    </w:p>
    <w:p w14:paraId="0A000000">
      <w:pPr>
        <w:ind/>
        <w:jc w:val="both"/>
        <w:rPr>
          <w:b w:val="1"/>
        </w:rPr>
      </w:pPr>
      <w:r>
        <w:rPr>
          <w:b w:val="1"/>
        </w:rPr>
        <w:t>1</w:t>
      </w:r>
      <w:r>
        <w:rPr>
          <w:b w:val="1"/>
        </w:rPr>
        <w:t>8</w:t>
      </w:r>
      <w:r>
        <w:rPr>
          <w:b w:val="1"/>
        </w:rPr>
        <w:t xml:space="preserve"> </w:t>
      </w:r>
      <w:r>
        <w:rPr>
          <w:b w:val="1"/>
        </w:rPr>
        <w:t>декабря</w:t>
      </w:r>
      <w:r>
        <w:rPr>
          <w:b w:val="1"/>
        </w:rPr>
        <w:t xml:space="preserve"> 2025 года </w:t>
      </w:r>
    </w:p>
    <w:p w14:paraId="0B000000">
      <w:pPr>
        <w:spacing w:after="120"/>
        <w:ind/>
        <w:jc w:val="both"/>
        <w:rPr>
          <w:b w:val="1"/>
          <w:color w:val="FF0000"/>
          <w:sz w:val="26"/>
        </w:rPr>
      </w:pPr>
      <w:r>
        <w:rPr>
          <w:b w:val="1"/>
        </w:rPr>
        <w:t>11 - 00 г.</w:t>
      </w:r>
      <w:r>
        <w:rPr>
          <w:b w:val="1"/>
        </w:rPr>
        <w:t>Кемерово, ул. Красная, 6 (КемГУ), 3 блочная аудитория</w:t>
      </w:r>
      <w:r>
        <w:rPr>
          <w:b w:val="1"/>
        </w:rPr>
        <w:t xml:space="preserve"> </w:t>
      </w:r>
      <w:r>
        <w:rPr>
          <w:b w:val="1"/>
        </w:rPr>
        <w:t xml:space="preserve">  </w:t>
      </w:r>
      <w:r>
        <w:rPr>
          <w:color w:val="FF0000"/>
        </w:rPr>
        <w:t xml:space="preserve">         </w:t>
      </w:r>
      <w:r>
        <w:rPr>
          <w:b w:val="1"/>
          <w:color w:val="FF0000"/>
        </w:rPr>
        <w:t xml:space="preserve">                  </w:t>
      </w:r>
      <w:r>
        <w:rPr>
          <w:b w:val="1"/>
          <w:color w:val="FF0000"/>
        </w:rPr>
        <w:tab/>
      </w:r>
      <w:r>
        <w:rPr>
          <w:b w:val="1"/>
          <w:color w:val="FF0000"/>
        </w:rPr>
        <w:t xml:space="preserve"> </w:t>
      </w:r>
      <w:r>
        <w:rPr>
          <w:b w:val="1"/>
          <w:color w:val="FF0000"/>
        </w:rPr>
        <w:tab/>
      </w:r>
      <w:r>
        <w:rPr>
          <w:b w:val="1"/>
          <w:color w:val="FF0000"/>
          <w:sz w:val="26"/>
        </w:rPr>
        <w:tab/>
      </w:r>
      <w:r>
        <w:rPr>
          <w:color w:val="FF0000"/>
          <w:sz w:val="26"/>
        </w:rPr>
        <w:t xml:space="preserve">          </w:t>
      </w:r>
      <w:r>
        <w:rPr>
          <w:color w:val="FF0000"/>
          <w:sz w:val="26"/>
        </w:rPr>
        <w:tab/>
      </w:r>
      <w:r>
        <w:rPr>
          <w:color w:val="FF0000"/>
          <w:sz w:val="26"/>
        </w:rPr>
        <w:tab/>
      </w:r>
      <w:r>
        <w:rPr>
          <w:b w:val="1"/>
          <w:color w:val="FF0000"/>
          <w:sz w:val="26"/>
        </w:rPr>
        <w:t xml:space="preserve">        </w:t>
      </w:r>
    </w:p>
    <w:tbl>
      <w:tblPr>
        <w:tblStyle w:val="Style_1"/>
        <w:tblBorders>
          <w:top w:color="000000" w:sz="18" w:val="single"/>
          <w:left w:color="000000" w:sz="18" w:val="single"/>
          <w:bottom w:color="000000" w:sz="18" w:val="single"/>
          <w:right w:color="000000" w:sz="18" w:val="single"/>
          <w:insideH w:color="000000" w:sz="6" w:val="single"/>
          <w:insideV w:color="000000" w:sz="6" w:val="single"/>
        </w:tblBorders>
        <w:tblLayout w:type="fixed"/>
      </w:tblPr>
      <w:tblGrid>
        <w:gridCol w:w="1668"/>
        <w:gridCol w:w="8505"/>
      </w:tblGrid>
      <w:tr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11.00 – 11.05</w:t>
            </w:r>
          </w:p>
          <w:p w14:paraId="0D000000">
            <w:pPr>
              <w:ind/>
              <w:jc w:val="center"/>
              <w:rPr>
                <w:b w:val="1"/>
              </w:rPr>
            </w:pPr>
          </w:p>
        </w:tc>
        <w:tc>
          <w:tcPr>
            <w:tcW w:type="dxa" w:w="85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00000">
            <w:pPr>
              <w:ind/>
              <w:jc w:val="both"/>
              <w:rPr>
                <w:b w:val="1"/>
                <w:i w:val="1"/>
              </w:rPr>
            </w:pPr>
            <w:r>
              <w:rPr>
                <w:b w:val="1"/>
              </w:rPr>
              <w:t>Вступительное слово</w:t>
            </w:r>
          </w:p>
          <w:p w14:paraId="0F000000">
            <w:pPr>
              <w:ind/>
              <w:jc w:val="both"/>
              <w:rPr>
                <w:b w:val="1"/>
              </w:rPr>
            </w:pPr>
            <w:r>
              <w:rPr>
                <w:b w:val="1"/>
              </w:rPr>
              <w:t>Антонова Ирина Игоревна</w:t>
            </w:r>
            <w:r>
              <w:rPr>
                <w:b w:val="1"/>
              </w:rPr>
              <w:t xml:space="preserve"> –</w:t>
            </w:r>
            <w:r>
              <w:rPr>
                <w:b w:val="1"/>
              </w:rPr>
              <w:t xml:space="preserve"> </w:t>
            </w:r>
            <w:r>
              <w:t>руководитель УФНС России по Кемеровской области - Кузбассу</w:t>
            </w:r>
            <w:r>
              <w:t xml:space="preserve"> </w:t>
            </w:r>
          </w:p>
        </w:tc>
      </w:tr>
      <w:tr>
        <w:trPr>
          <w:trHeight w:hRule="atLeast" w:val="863"/>
        </w:trPr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11.05 – 11.</w:t>
            </w:r>
            <w:r>
              <w:rPr>
                <w:b w:val="1"/>
              </w:rPr>
              <w:t>35</w:t>
            </w:r>
          </w:p>
          <w:p w14:paraId="11000000">
            <w:pPr>
              <w:ind/>
              <w:jc w:val="center"/>
              <w:rPr>
                <w:b w:val="1"/>
              </w:rPr>
            </w:pPr>
          </w:p>
          <w:p w14:paraId="12000000">
            <w:pPr>
              <w:ind/>
              <w:jc w:val="center"/>
              <w:rPr>
                <w:b w:val="1"/>
              </w:rPr>
            </w:pPr>
          </w:p>
        </w:tc>
        <w:tc>
          <w:tcPr>
            <w:tcW w:type="dxa" w:w="85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00000">
            <w:pPr>
              <w:ind/>
              <w:jc w:val="both"/>
            </w:pPr>
            <w:r>
              <w:t>Основные изменения в налоговом законодательстве с 2026 года</w:t>
            </w:r>
          </w:p>
          <w:p w14:paraId="14000000">
            <w:pPr>
              <w:ind/>
              <w:jc w:val="both"/>
            </w:pPr>
            <w:r>
              <w:t xml:space="preserve">- порядок </w:t>
            </w:r>
            <w:r>
              <w:t xml:space="preserve">исчисления и </w:t>
            </w:r>
            <w:r>
              <w:t xml:space="preserve">уплаты с 2026 года НДС налогоплательщиками, применяющими </w:t>
            </w:r>
            <w:r>
              <w:t xml:space="preserve">  </w:t>
            </w:r>
            <w:r>
              <w:t>упрощенную систему налогообложения</w:t>
            </w:r>
          </w:p>
          <w:p w14:paraId="15000000">
            <w:pPr>
              <w:ind/>
              <w:jc w:val="both"/>
            </w:pPr>
            <w:r>
              <w:t>- изменение лимитов для применения ПСН с 2026 года</w:t>
            </w:r>
            <w:r>
              <w:t>, порядок перехода на иные системы налогообложения</w:t>
            </w:r>
          </w:p>
          <w:p w14:paraId="16000000">
            <w:pPr>
              <w:ind/>
              <w:jc w:val="both"/>
            </w:pPr>
            <w:r>
              <w:t>- изменения в законодательстве для налогоплательщиков, применяющих общую систему налогообложения</w:t>
            </w:r>
          </w:p>
          <w:p w14:paraId="17000000">
            <w:pPr>
              <w:ind/>
              <w:jc w:val="both"/>
            </w:pPr>
          </w:p>
          <w:p w14:paraId="18000000">
            <w:pPr>
              <w:ind/>
              <w:jc w:val="both"/>
            </w:pPr>
            <w:r>
              <w:rPr>
                <w:b w:val="1"/>
              </w:rPr>
              <w:t>Гонтарь Светлана Анатольевна</w:t>
            </w:r>
            <w:r>
              <w:t xml:space="preserve"> – начальник отдела налогообложения юридических лиц</w:t>
            </w:r>
          </w:p>
        </w:tc>
      </w:tr>
      <w:tr>
        <w:trPr>
          <w:trHeight w:hRule="atLeast" w:val="1022"/>
        </w:trPr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11.</w:t>
            </w:r>
            <w:r>
              <w:rPr>
                <w:b w:val="1"/>
              </w:rPr>
              <w:t>35</w:t>
            </w:r>
            <w:r>
              <w:rPr>
                <w:b w:val="1"/>
              </w:rPr>
              <w:t xml:space="preserve"> - 11.</w:t>
            </w:r>
            <w:r>
              <w:rPr>
                <w:b w:val="1"/>
              </w:rPr>
              <w:t>55</w:t>
            </w:r>
          </w:p>
          <w:p w14:paraId="1A000000">
            <w:pPr>
              <w:ind/>
              <w:jc w:val="center"/>
              <w:rPr>
                <w:b w:val="1"/>
              </w:rPr>
            </w:pPr>
          </w:p>
        </w:tc>
        <w:tc>
          <w:tcPr>
            <w:tcW w:type="dxa" w:w="85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00000">
            <w:pPr>
              <w:ind/>
              <w:jc w:val="both"/>
            </w:pPr>
            <w:r>
              <w:t>Основные изменения</w:t>
            </w:r>
            <w:r>
              <w:t xml:space="preserve"> в</w:t>
            </w:r>
            <w:r>
              <w:t xml:space="preserve"> </w:t>
            </w:r>
            <w:r>
              <w:t>налоговом законодательстве с 2026 года</w:t>
            </w:r>
          </w:p>
          <w:p w14:paraId="1C000000">
            <w:pPr>
              <w:ind/>
              <w:jc w:val="both"/>
            </w:pPr>
            <w:r>
              <w:t>- изменения в исчислении и уплате страховых взносов;</w:t>
            </w:r>
          </w:p>
          <w:p w14:paraId="1D000000">
            <w:pPr>
              <w:ind/>
              <w:jc w:val="both"/>
            </w:pPr>
            <w:r>
              <w:t>- особенности налогового агентирования по НДФЛ;</w:t>
            </w:r>
          </w:p>
          <w:p w14:paraId="1E000000">
            <w:pPr>
              <w:ind/>
              <w:jc w:val="both"/>
            </w:pPr>
            <w:r>
              <w:t>- порядок исчисления и уплаты имущественных налогов.</w:t>
            </w:r>
          </w:p>
          <w:p w14:paraId="1F000000">
            <w:pPr>
              <w:ind/>
              <w:jc w:val="both"/>
            </w:pPr>
          </w:p>
          <w:p w14:paraId="20000000">
            <w:pPr>
              <w:ind/>
              <w:jc w:val="both"/>
            </w:pPr>
            <w:r>
              <w:rPr>
                <w:b w:val="1"/>
              </w:rPr>
              <w:t>Силонова Жанна Владимировна</w:t>
            </w:r>
            <w:r>
              <w:t xml:space="preserve"> –  начальник отдела </w:t>
            </w:r>
            <w:r>
              <w:t>налогообложения имущества и доходов физических лиц</w:t>
            </w:r>
          </w:p>
        </w:tc>
      </w:tr>
      <w:tr>
        <w:trPr>
          <w:trHeight w:hRule="atLeast" w:val="902"/>
        </w:trPr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11.55 – 12.10</w:t>
            </w:r>
          </w:p>
        </w:tc>
        <w:tc>
          <w:tcPr>
            <w:tcW w:type="dxa" w:w="85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00000">
            <w:pPr>
              <w:ind/>
              <w:jc w:val="both"/>
            </w:pPr>
            <w:r>
              <w:t>О</w:t>
            </w:r>
            <w:r>
              <w:t>б</w:t>
            </w:r>
            <w:r>
              <w:t xml:space="preserve"> обязательных требовани</w:t>
            </w:r>
            <w:r>
              <w:t>ях</w:t>
            </w:r>
            <w:r>
              <w:t xml:space="preserve"> в сфере применения ККТ и порядке осуществления государственного контроля (надзора) за </w:t>
            </w:r>
            <w:r>
              <w:t>соблюдением кассовой дисциплины</w:t>
            </w:r>
          </w:p>
          <w:p w14:paraId="23000000">
            <w:pPr>
              <w:ind/>
              <w:jc w:val="both"/>
            </w:pPr>
          </w:p>
          <w:p w14:paraId="24000000">
            <w:pPr>
              <w:ind/>
              <w:jc w:val="both"/>
            </w:pPr>
            <w:r>
              <w:rPr>
                <w:b w:val="1"/>
              </w:rPr>
              <w:t>Аксенов Сергей Владимирович</w:t>
            </w:r>
            <w:r>
              <w:t xml:space="preserve"> – главный государственный налоговый инспектор контрольного отдела  </w:t>
            </w:r>
          </w:p>
        </w:tc>
      </w:tr>
      <w:tr>
        <w:trPr>
          <w:trHeight w:hRule="atLeast" w:val="604"/>
        </w:trPr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1</w:t>
            </w:r>
            <w:r>
              <w:rPr>
                <w:b w:val="1"/>
              </w:rPr>
              <w:t>2.10 – 12.30</w:t>
            </w:r>
          </w:p>
        </w:tc>
        <w:tc>
          <w:tcPr>
            <w:tcW w:type="dxa" w:w="85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00000">
            <w:pPr>
              <w:ind/>
              <w:jc w:val="both"/>
            </w:pPr>
            <w:r>
              <w:t>Ответы на вопросы</w:t>
            </w:r>
          </w:p>
        </w:tc>
      </w:tr>
    </w:tbl>
    <w:p w14:paraId="27000000">
      <w:pPr>
        <w:ind/>
        <w:jc w:val="both"/>
      </w:pPr>
    </w:p>
    <w:p w14:paraId="28000000">
      <w:pPr>
        <w:ind/>
        <w:jc w:val="both"/>
      </w:pPr>
    </w:p>
    <w:sectPr>
      <w:pgSz w:h="16834" w:orient="portrait" w:w="11909"/>
      <w:pgMar w:bottom="720" w:footer="198" w:gutter="0" w:header="1077" w:left="720" w:right="720" w:top="72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rFonts w:ascii="Times New Roman" w:hAnsi="Times New Roman"/>
      <w:sz w:val="24"/>
    </w:rPr>
  </w:style>
  <w:style w:default="1" w:styleId="Style_2_ch" w:type="character">
    <w:name w:val="Normal"/>
    <w:link w:val="Style_2"/>
    <w:rPr>
      <w:rFonts w:ascii="Times New Roman" w:hAnsi="Times New Roman"/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header"/>
    <w:basedOn w:val="Style_2"/>
    <w:link w:val="Style_5_ch"/>
    <w:pPr>
      <w:tabs>
        <w:tab w:leader="none" w:pos="4677" w:val="center"/>
        <w:tab w:leader="none" w:pos="9355" w:val="right"/>
      </w:tabs>
      <w:ind/>
    </w:pPr>
  </w:style>
  <w:style w:styleId="Style_5_ch" w:type="character">
    <w:name w:val="header"/>
    <w:basedOn w:val="Style_2_ch"/>
    <w:link w:val="Style_5"/>
  </w:style>
  <w:style w:styleId="Style_6" w:type="paragraph">
    <w:name w:val="toc 6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ConsNormal"/>
    <w:link w:val="Style_9_ch"/>
    <w:pPr>
      <w:widowControl w:val="0"/>
      <w:ind w:firstLine="720" w:left="0" w:right="19772"/>
    </w:pPr>
    <w:rPr>
      <w:rFonts w:ascii="Arial" w:hAnsi="Arial"/>
    </w:rPr>
  </w:style>
  <w:style w:styleId="Style_9_ch" w:type="character">
    <w:name w:val="ConsNormal"/>
    <w:link w:val="Style_9"/>
    <w:rPr>
      <w:rFonts w:ascii="Arial" w:hAnsi="Arial"/>
    </w:rPr>
  </w:style>
  <w:style w:styleId="Style_10" w:type="paragraph">
    <w:name w:val="Balloon Text"/>
    <w:basedOn w:val="Style_2"/>
    <w:link w:val="Style_10_ch"/>
    <w:rPr>
      <w:rFonts w:ascii="Tahoma" w:hAnsi="Tahoma"/>
      <w:sz w:val="16"/>
    </w:rPr>
  </w:style>
  <w:style w:styleId="Style_10_ch" w:type="character">
    <w:name w:val="Balloon Text"/>
    <w:basedOn w:val="Style_2_ch"/>
    <w:link w:val="Style_10"/>
    <w:rPr>
      <w:rFonts w:ascii="Tahoma" w:hAnsi="Tahoma"/>
      <w:sz w:val="16"/>
    </w:rPr>
  </w:style>
  <w:style w:styleId="Style_11" w:type="paragraph">
    <w:name w:val="toc 3"/>
    <w:next w:val="Style_2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Название объекта1"/>
    <w:basedOn w:val="Style_2"/>
    <w:link w:val="Style_13_ch"/>
    <w:pPr>
      <w:widowControl w:val="0"/>
      <w:ind/>
      <w:jc w:val="center"/>
    </w:pPr>
    <w:rPr>
      <w:sz w:val="32"/>
    </w:rPr>
  </w:style>
  <w:style w:styleId="Style_13_ch" w:type="character">
    <w:name w:val="Название объекта1"/>
    <w:basedOn w:val="Style_2_ch"/>
    <w:link w:val="Style_13"/>
    <w:rPr>
      <w:sz w:val="32"/>
    </w:rPr>
  </w:style>
  <w:style w:styleId="Style_14" w:type="paragraph">
    <w:name w:val="ConsPlusNormal"/>
    <w:link w:val="Style_14_ch"/>
    <w:pPr>
      <w:widowControl w:val="0"/>
      <w:ind w:firstLine="720" w:left="0"/>
    </w:pPr>
    <w:rPr>
      <w:rFonts w:ascii="Arial" w:hAnsi="Arial"/>
    </w:rPr>
  </w:style>
  <w:style w:styleId="Style_14_ch" w:type="character">
    <w:name w:val="ConsPlusNormal"/>
    <w:link w:val="Style_14"/>
    <w:rPr>
      <w:rFonts w:ascii="Arial" w:hAnsi="Arial"/>
    </w:rPr>
  </w:style>
  <w:style w:styleId="Style_15" w:type="paragraph">
    <w:name w:val="heading 5"/>
    <w:next w:val="Style_2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basedOn w:val="Style_2"/>
    <w:next w:val="Style_2"/>
    <w:link w:val="Style_16_ch"/>
    <w:uiPriority w:val="9"/>
    <w:qFormat/>
    <w:pPr>
      <w:keepNext w:val="1"/>
      <w:spacing w:after="60" w:before="240"/>
      <w:ind/>
      <w:outlineLvl w:val="0"/>
    </w:pPr>
    <w:rPr>
      <w:rFonts w:ascii="Arial" w:hAnsi="Arial"/>
      <w:b w:val="1"/>
      <w:sz w:val="32"/>
    </w:rPr>
  </w:style>
  <w:style w:styleId="Style_16_ch" w:type="character">
    <w:name w:val="heading 1"/>
    <w:basedOn w:val="Style_2_ch"/>
    <w:link w:val="Style_16"/>
    <w:rPr>
      <w:rFonts w:ascii="Arial" w:hAnsi="Arial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2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0"/>
    </w:rPr>
  </w:style>
  <w:style w:styleId="Style_20_ch" w:type="character">
    <w:name w:val="Header and Footer"/>
    <w:link w:val="Style_20"/>
    <w:rPr>
      <w:rFonts w:ascii="XO Thames" w:hAnsi="XO Thames"/>
      <w:sz w:val="20"/>
    </w:rPr>
  </w:style>
  <w:style w:styleId="Style_21" w:type="paragraph">
    <w:name w:val="toc 9"/>
    <w:next w:val="Style_2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2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No Spacing"/>
    <w:link w:val="Style_23_ch"/>
    <w:rPr>
      <w:sz w:val="22"/>
    </w:rPr>
  </w:style>
  <w:style w:styleId="Style_23_ch" w:type="character">
    <w:name w:val="No Spacing"/>
    <w:link w:val="Style_23"/>
    <w:rPr>
      <w:sz w:val="22"/>
    </w:rPr>
  </w:style>
  <w:style w:styleId="Style_24" w:type="paragraph">
    <w:name w:val="footer"/>
    <w:basedOn w:val="Style_2"/>
    <w:link w:val="Style_24_ch"/>
    <w:pPr>
      <w:tabs>
        <w:tab w:leader="none" w:pos="4677" w:val="center"/>
        <w:tab w:leader="none" w:pos="9355" w:val="right"/>
      </w:tabs>
      <w:ind/>
    </w:pPr>
  </w:style>
  <w:style w:styleId="Style_24_ch" w:type="character">
    <w:name w:val="footer"/>
    <w:basedOn w:val="Style_2_ch"/>
    <w:link w:val="Style_24"/>
  </w:style>
  <w:style w:styleId="Style_25" w:type="paragraph">
    <w:name w:val="toc 5"/>
    <w:next w:val="Style_2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Subtitle"/>
    <w:next w:val="Style_2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next w:val="Style_2"/>
    <w:link w:val="Style_2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2"/>
    <w:link w:val="Style_2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2"/>
    <w:link w:val="Style_2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styleId="Style_30" w:type="paragraph">
    <w:name w:val="List Paragraph"/>
    <w:basedOn w:val="Style_2"/>
    <w:link w:val="Style_30_ch"/>
    <w:pPr>
      <w:ind w:firstLine="0" w:left="720"/>
      <w:contextualSpacing w:val="1"/>
    </w:pPr>
  </w:style>
  <w:style w:styleId="Style_30_ch" w:type="character">
    <w:name w:val="List Paragraph"/>
    <w:basedOn w:val="Style_2_ch"/>
    <w:link w:val="Style_30"/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1" w:type="table">
    <w:name w:val="Table Grid"/>
    <w:basedOn w:val="Style_1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MyOffice-CoreFramework-Linux/29-1028.734.7326.662.0@DESKTOP-CASSIOPEIA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2025-12-16T03:25:22Z</dcterms:modified>
</cp:coreProperties>
</file>