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tbl>
      <w:tblPr>
        <w:tblStyle w:val="Style_2"/>
        <w:tblW w:w="9146" w:type="dxa"/>
        <w:jc w:val="left"/>
        <w:tblInd w:w="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6371"/>
      </w:tblGrid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Наименование разработчика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Управление архитектуры и градостроительства Администрации беловского городского округа</w:t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Вид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Проект документа стратегического планирования</w:t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Наименование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Муниципальная программа «</w:t>
            </w:r>
            <w:r>
              <w:rPr>
                <w:kern w:val="0"/>
                <w:sz w:val="28"/>
                <w:szCs w:val="28"/>
              </w:rPr>
              <w:t xml:space="preserve">Обеспечение градостроительной деятельности на территории </w:t>
            </w:r>
            <w:r>
              <w:rPr>
                <w:b w:val="false"/>
                <w:bCs w:val="false"/>
                <w:spacing w:val="2"/>
                <w:kern w:val="0"/>
                <w:sz w:val="28"/>
                <w:szCs w:val="28"/>
                <w:highlight w:val="white"/>
              </w:rPr>
              <w:t>Беловского городского округа на 2026 - 2030 годы</w:t>
            </w:r>
            <w:r>
              <w:rPr>
                <w:kern w:val="0"/>
                <w:szCs w:val="20"/>
              </w:rPr>
              <w:t>»</w:t>
            </w:r>
          </w:p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Муниципальная программа «</w:t>
            </w:r>
            <w:r>
              <w:rPr>
                <w:kern w:val="0"/>
                <w:sz w:val="28"/>
                <w:szCs w:val="28"/>
              </w:rPr>
              <w:t xml:space="preserve">Обеспечение градостроительной деятельности на территории </w:t>
            </w:r>
            <w:r>
              <w:rPr>
                <w:b w:val="false"/>
                <w:bCs w:val="false"/>
                <w:spacing w:val="2"/>
                <w:kern w:val="0"/>
                <w:sz w:val="28"/>
                <w:szCs w:val="28"/>
                <w:highlight w:val="white"/>
              </w:rPr>
              <w:t>Беловского городского округа на 2026 - 2030 годы</w:t>
            </w:r>
            <w:r>
              <w:rPr>
                <w:kern w:val="0"/>
                <w:szCs w:val="20"/>
              </w:rPr>
              <w:t>».</w:t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</w:t>
            </w:r>
            <w:r>
              <w:rPr>
                <w:kern w:val="0"/>
                <w:szCs w:val="20"/>
              </w:rPr>
              <w:t>1</w:t>
            </w:r>
            <w:r>
              <w:rPr>
                <w:kern w:val="0"/>
                <w:szCs w:val="20"/>
              </w:rPr>
              <w:t>.10.2025 - 1</w:t>
            </w:r>
            <w:r>
              <w:rPr>
                <w:kern w:val="0"/>
                <w:szCs w:val="20"/>
              </w:rPr>
              <w:t>4</w:t>
            </w:r>
            <w:r>
              <w:rPr>
                <w:kern w:val="0"/>
                <w:szCs w:val="20"/>
              </w:rPr>
              <w:t>.11.2025</w:t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Мецкер Ирина Юрьевна,</w:t>
            </w:r>
          </w:p>
          <w:p>
            <w:pPr>
              <w:pStyle w:val="Normal"/>
              <w:suppressAutoHyphens w:val="true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652600, г. Белово, ул. Советская, 21</w:t>
            </w:r>
          </w:p>
          <w:p>
            <w:pPr>
              <w:pStyle w:val="Normal"/>
              <w:suppressAutoHyphens w:val="true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gl_arh@belovo42.ru</w:t>
            </w:r>
          </w:p>
          <w:p>
            <w:pPr>
              <w:pStyle w:val="Normal"/>
              <w:suppressAutoHyphens w:val="true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тел. 8(384-52) 2-25-92</w:t>
            </w:r>
          </w:p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Порядок направления предложений и замечаний к проекту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gl_arh@belovo42.ru с указанием реквизитов отправителя (ФИО или название организации, контактный телефон).</w:t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60"/>
              <w:ind w:hanging="0" w:left="0" w:right="0"/>
              <w:rPr/>
            </w:pPr>
            <w:r>
              <w:rPr>
                <w:kern w:val="0"/>
                <w:szCs w:val="20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  <w:t>Пояснительная записка к проекту муниципальной программы «</w:t>
            </w:r>
            <w:r>
              <w:rPr>
                <w:kern w:val="0"/>
                <w:sz w:val="28"/>
                <w:szCs w:val="28"/>
              </w:rPr>
              <w:t xml:space="preserve">Обеспечение градостроительной деятельности на территории </w:t>
            </w:r>
            <w:r>
              <w:rPr>
                <w:b w:val="false"/>
                <w:bCs w:val="false"/>
                <w:spacing w:val="2"/>
                <w:kern w:val="0"/>
                <w:sz w:val="28"/>
                <w:szCs w:val="28"/>
                <w:highlight w:val="white"/>
              </w:rPr>
              <w:t>Беловского городского округа на 2026 - 2030 годы</w:t>
            </w:r>
            <w:r>
              <w:rPr>
                <w:kern w:val="0"/>
                <w:sz w:val="28"/>
                <w:szCs w:val="20"/>
              </w:rPr>
              <w:t>».</w:t>
            </w:r>
          </w:p>
        </w:tc>
      </w:tr>
      <w:tr>
        <w:trPr>
          <w:trHeight w:val="360" w:hRule="atLeast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60"/>
              <w:ind w:hanging="0" w:left="0" w:right="0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ind w:hanging="0" w:left="0" w:right="120"/>
              <w:jc w:val="both"/>
              <w:rPr>
                <w:kern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kern w:val="0"/>
                <w:sz w:val="28"/>
                <w:szCs w:val="28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kern w:val="0"/>
                <w:sz w:val="28"/>
                <w:szCs w:val="28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документу.</w:t>
            </w:r>
          </w:p>
        </w:tc>
      </w:tr>
    </w:tbl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0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-57"/>
        <w:jc w:val="left"/>
        <w:rPr/>
      </w:pPr>
      <w:r>
        <w:rPr/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hanging="0" w:left="0" w:right="-57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60"/>
        <w:ind w:hanging="0" w:left="0" w:right="-57"/>
        <w:jc w:val="left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60"/>
      <w:ind w:firstLine="567" w:left="0" w:right="0"/>
      <w:jc w:val="both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spacing w:val="2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StrongEmphasis">
    <w:name w:val="Strong Emphasis"/>
    <w:basedOn w:val="DefaultParagraphFont1"/>
    <w:link w:val="StrongEmphasis1"/>
    <w:qFormat/>
    <w:rPr>
      <w:b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NormalWeb1">
    <w:name w:val="Normal (Web)1"/>
    <w:link w:val="NormalWeb11"/>
    <w:qFormat/>
    <w:rPr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Style9">
    <w:name w:val="Заголовок"/>
    <w:link w:val="111"/>
    <w:qFormat/>
    <w:rPr>
      <w:rFonts w:ascii="PT Astra Serif" w:hAnsi="PT Astra Serif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Heading11">
    <w:name w:val="Heading 11"/>
    <w:qFormat/>
    <w:rPr>
      <w:spacing w:val="20"/>
    </w:rPr>
  </w:style>
  <w:style w:type="character" w:styleId="Strong">
    <w:name w:val="Strong"/>
    <w:basedOn w:val="DefaultParagraphFont1"/>
    <w:qFormat/>
    <w:rPr>
      <w:b/>
    </w:rPr>
  </w:style>
  <w:style w:type="character" w:styleId="Style10">
    <w:name w:val="Указатель"/>
    <w:link w:val="112"/>
    <w:qFormat/>
    <w:rPr>
      <w:rFonts w:ascii="PT Astra Serif" w:hAnsi="PT Astra Serif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111">
    <w:name w:val="Heading 111"/>
    <w:link w:val="Heading112"/>
    <w:qFormat/>
    <w:rPr>
      <w:spacing w:val="20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Caption1">
    <w:name w:val="caption1"/>
    <w:link w:val="Caption2"/>
    <w:qFormat/>
    <w:rPr>
      <w:rFonts w:ascii="PT Astra Serif" w:hAnsi="PT Astra Serif"/>
      <w:i/>
      <w:sz w:val="24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Title11">
    <w:name w:val="Title11"/>
    <w:link w:val="Title12"/>
    <w:qFormat/>
    <w:rPr>
      <w:rFonts w:ascii="XO Thames" w:hAnsi="XO Thames"/>
      <w:b/>
      <w:caps/>
      <w:sz w:val="40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111">
    <w:name w:val="Заголовок11"/>
    <w:basedOn w:val="Normal"/>
    <w:next w:val="BodyText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2">
    <w:name w:val="Указатель11"/>
    <w:basedOn w:val="Normal"/>
    <w:link w:val="Style10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1">
    <w:name w:val="Strong Emphasis1"/>
    <w:basedOn w:val="DefaultParagraphFont11"/>
    <w:link w:val="StrongEmphasis"/>
    <w:qFormat/>
    <w:pPr/>
    <w:rPr>
      <w:b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HeaderandFooter11">
    <w:name w:val="Header and Footer11"/>
    <w:link w:val="Headerand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spacing w:beforeAutospacing="1" w:afterAutospacing="1"/>
      <w:ind w:hanging="0" w:left="0"/>
      <w:jc w:val="left"/>
    </w:pPr>
    <w:rPr>
      <w:sz w:val="24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2">
    <w:name w:val="Strong Emphasis2"/>
    <w:basedOn w:val="DefaultParagraphFont11"/>
    <w:qFormat/>
    <w:pPr/>
    <w:rPr>
      <w:b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20"/>
      <w:kern w:val="0"/>
      <w:sz w:val="20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2">
    <w:name w:val="Title12"/>
    <w:link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LibreOffice/7.6.7.2$Linux_X86_64 LibreOffice_project/60$Build-2</Application>
  <AppVersion>15.0000</AppVersion>
  <Pages>2</Pages>
  <Words>235</Words>
  <Characters>2012</Characters>
  <CharactersWithSpaces>2226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2025-10-29T15:39:02Z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