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word/_rels/document.xml.rels" ContentType="application/vnd.openxmlformats-package.relationships+xml"/>
  <Override PartName="/word/footer33.xml" ContentType="application/vnd.openxmlformats-officedocument.wordprocessingml.footer+xml"/>
  <Override PartName="/word/footer32.xml" ContentType="application/vnd.openxmlformats-officedocument.wordprocessingml.footer+xml"/>
  <Override PartName="/word/footer31.xml" ContentType="application/vnd.openxmlformats-officedocument.wordprocessingml.footer+xml"/>
  <Override PartName="/word/footer30.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5.xml" ContentType="application/vnd.openxmlformats-officedocument.wordprocessingml.footer+xml"/>
  <Override PartName="/word/footer14.xml" ContentType="application/vnd.openxmlformats-officedocument.wordprocessingml.footer+xml"/>
  <Override PartName="/word/footer21.xml" ContentType="application/vnd.openxmlformats-officedocument.wordprocessingml.footer+xml"/>
  <Override PartName="/word/footer2.xml" ContentType="application/vnd.openxmlformats-officedocument.wordprocessingml.footer+xml"/>
  <Override PartName="/word/footer29.xml" ContentType="application/vnd.openxmlformats-officedocument.wordprocessingml.footer+xml"/>
  <Override PartName="/word/footer13.xml" ContentType="application/vnd.openxmlformats-officedocument.wordprocessingml.footer+xml"/>
  <Override PartName="/word/footer20.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footer1.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numbering.xml" ContentType="application/vnd.openxmlformats-officedocument.wordprocessingml.numbering+xml"/>
  <Override PartName="/word/footer37.xml" ContentType="application/vnd.openxmlformats-officedocument.wordprocessingml.footer+xml"/>
  <Override PartName="/word/footer38.xml" ContentType="application/vnd.openxmlformats-officedocument.wordprocessingml.footer+xml"/>
  <Override PartName="/word/footer3.xml" ContentType="application/vnd.openxmlformats-officedocument.wordprocessingml.footer+xml"/>
  <Override PartName="/word/footer22.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23.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theme/theme1.xml" ContentType="application/vnd.openxmlformats-officedocument.theme+xml"/>
  <Override PartName="/word/footer42.xml" ContentType="application/vnd.openxmlformats-officedocument.wordprocessingml.footer+xml"/>
  <Override PartName="/word/settings.xml" ContentType="application/vnd.openxmlformats-officedocument.wordprocessingml.settings+xml"/>
  <Override PartName="/word/footer43.xml" ContentType="application/vnd.openxmlformats-officedocument.wordprocessingml.footer+xml"/>
  <Override PartName="/word/footer34.xml" ContentType="application/vnd.openxmlformats-officedocument.wordprocessingml.footer+xml"/>
  <Override PartName="/word/footer47.xml" ContentType="application/vnd.openxmlformats-officedocument.wordprocessingml.footer+xml"/>
  <Override PartName="/word/footer46.xml" ContentType="application/vnd.openxmlformats-officedocument.wordprocessingml.footer+xml"/>
  <Override PartName="/word/footer44.xml" ContentType="application/vnd.openxmlformats-officedocument.wordprocessingml.footer+xml"/>
  <Override PartName="/word/footer8.xml" ContentType="application/vnd.openxmlformats-officedocument.wordprocessingml.footer+xml"/>
  <Override PartName="/word/footer27.xml" ContentType="application/vnd.openxmlformats-officedocument.wordprocessingml.footer+xml"/>
  <Override PartName="/word/styles.xml" ContentType="application/vnd.openxmlformats-officedocument.wordprocessingml.styles+xml"/>
  <Override PartName="/word/footer11.xml" ContentType="application/vnd.openxmlformats-officedocument.wordprocessingml.footer+xml"/>
  <Override PartName="/word/footer10.xml" ContentType="application/vnd.openxmlformats-officedocument.wordprocessingml.footer+xml"/>
  <Override PartName="/word/footer7.xml" ContentType="application/vnd.openxmlformats-officedocument.wordprocessingml.footer+xml"/>
  <Override PartName="/word/footer26.xml" ContentType="application/vnd.openxmlformats-officedocument.wordprocessingml.footer+xml"/>
  <Override PartName="/word/footer12.xml" ContentType="application/vnd.openxmlformats-officedocument.wordprocessingml.footer+xml"/>
  <Override PartName="/word/footer28.xml" ContentType="application/vnd.openxmlformats-officedocument.wordprocessingml.footer+xml"/>
  <Override PartName="/word/footer6.xml" ContentType="application/vnd.openxmlformats-officedocument.wordprocessingml.footer+xml"/>
  <Override PartName="/word/footer25.xml" ContentType="application/vnd.openxmlformats-officedocument.wordprocessingml.footer+xml"/>
  <Override PartName="/word/footer5.xml" ContentType="application/vnd.openxmlformats-officedocument.wordprocessingml.footer+xml"/>
  <Override PartName="/word/footer24.xml" ContentType="application/vnd.openxmlformats-officedocument.wordprocessingml.footer+xml"/>
  <Override PartName="/word/document.xml" ContentType="application/vnd.openxmlformats-officedocument.wordprocessingml.document.main+xml"/>
  <Override PartName="/word/footer19.xml" ContentType="application/vnd.openxmlformats-officedocument.wordprocessingml.footer+xml"/>
  <Override PartName="/word/media/image34.png" ContentType="image/png"/>
  <Override PartName="/word/media/image33.png" ContentType="image/png"/>
  <Override PartName="/word/media/image32.png" ContentType="image/png"/>
  <Override PartName="/word/media/image31.png" ContentType="image/png"/>
  <Override PartName="/word/media/image30.png" ContentType="image/png"/>
  <Override PartName="/word/media/image25.png" ContentType="image/png"/>
  <Override PartName="/word/media/image36.png" ContentType="image/png"/>
  <Override PartName="/word/media/image20.png" ContentType="image/png"/>
  <Override PartName="/word/media/image9.jpeg" ContentType="image/jpeg"/>
  <Override PartName="/word/media/image8.jpeg" ContentType="image/jpeg"/>
  <Override PartName="/word/media/image26.png" ContentType="image/png"/>
  <Override PartName="/word/media/image10.jpeg" ContentType="image/jpeg"/>
  <Override PartName="/word/media/image2.png" ContentType="image/png"/>
  <Override PartName="/word/media/image28.png" ContentType="image/png"/>
  <Override PartName="/word/media/image12.png" ContentType="image/png"/>
  <Override PartName="/word/media/image15.png" ContentType="image/png"/>
  <Override PartName="/word/media/image1.jpeg" ContentType="image/jpeg"/>
  <Override PartName="/word/media/image41.png" ContentType="image/png"/>
  <Override PartName="/word/media/image42.png" ContentType="image/png"/>
  <Override PartName="/word/media/image40.png" ContentType="image/png"/>
  <Override PartName="/word/media/image39.png" ContentType="image/png"/>
  <Override PartName="/word/media/image23.png" ContentType="image/png"/>
  <Override PartName="/word/media/image38.png" ContentType="image/png"/>
  <Override PartName="/word/media/image22.png" ContentType="image/png"/>
  <Override PartName="/word/media/image37.png" ContentType="image/png"/>
  <Override PartName="/word/media/image21.png" ContentType="image/png"/>
  <Override PartName="/word/media/image7.jpeg" ContentType="image/jpeg"/>
  <Override PartName="/word/media/image16.png" ContentType="image/png"/>
  <Override PartName="/word/media/image14.png" ContentType="image/png"/>
  <Override PartName="/word/media/image13.png" ContentType="image/png"/>
  <Override PartName="/word/media/image6.jpeg" ContentType="image/jpeg"/>
  <Override PartName="/word/media/image11.png" ContentType="image/png"/>
  <Override PartName="/word/media/image27.png" ContentType="image/png"/>
  <Override PartName="/word/media/image35.png" ContentType="image/png"/>
  <Override PartName="/word/media/image29.jpeg" ContentType="image/jpeg"/>
  <Override PartName="/word/media/image3.jpeg" ContentType="image/jpeg"/>
  <Override PartName="/word/media/image4.jpeg" ContentType="image/jpeg"/>
  <Override PartName="/word/media/image5.jpeg" ContentType="image/jpeg"/>
  <Override PartName="/word/media/image17.png" ContentType="image/png"/>
  <Override PartName="/word/media/image18.png" ContentType="image/png"/>
  <Override PartName="/word/media/image19.png" ContentType="image/png"/>
  <Override PartName="/word/media/image24.png" ContentType="image/png"/>
  <Override PartName="/word/footer45.xml" ContentType="application/vnd.openxmlformats-officedocument.wordprocessingml.footer+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Style26"/>
        <w:spacing w:before="120" w:after="0"/>
        <w:rPr/>
      </w:pPr>
      <w:r>
        <w:rPr/>
        <w:drawing>
          <wp:inline distT="0" distB="0" distL="0" distR="0">
            <wp:extent cx="1800225" cy="2981325"/>
            <wp:effectExtent l="0" t="0" r="0" b="0"/>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tretch>
                      <a:fillRect/>
                    </a:stretch>
                  </pic:blipFill>
                  <pic:spPr bwMode="auto">
                    <a:xfrm>
                      <a:off x="0" y="0"/>
                      <a:ext cx="1800225" cy="2981325"/>
                    </a:xfrm>
                    <a:prstGeom prst="rect">
                      <a:avLst/>
                    </a:prstGeom>
                  </pic:spPr>
                </pic:pic>
              </a:graphicData>
            </a:graphic>
          </wp:inline>
        </w:drawing>
      </w:r>
    </w:p>
    <w:p>
      <w:pPr>
        <w:pStyle w:val="Style26"/>
        <w:rPr/>
      </w:pPr>
      <w:r>
        <w:rPr/>
        <w:drawing>
          <wp:inline distT="0" distB="0" distL="0" distR="0">
            <wp:extent cx="1800225" cy="3054350"/>
            <wp:effectExtent l="0" t="0" r="0" b="0"/>
            <wp:docPr id="2"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descr=""/>
                    <pic:cNvPicPr>
                      <a:picLocks noChangeAspect="1" noChangeArrowheads="1"/>
                    </pic:cNvPicPr>
                  </pic:nvPicPr>
                  <pic:blipFill>
                    <a:blip r:embed="rId3"/>
                    <a:stretch>
                      <a:fillRect/>
                    </a:stretch>
                  </pic:blipFill>
                  <pic:spPr bwMode="auto">
                    <a:xfrm>
                      <a:off x="0" y="0"/>
                      <a:ext cx="1800225" cy="3054350"/>
                    </a:xfrm>
                    <a:prstGeom prst="rect">
                      <a:avLst/>
                    </a:prstGeom>
                  </pic:spPr>
                </pic:pic>
              </a:graphicData>
            </a:graphic>
          </wp:inline>
        </w:drawing>
      </w:r>
    </w:p>
    <w:p>
      <w:pPr>
        <w:pStyle w:val="Normal"/>
        <w:ind w:hanging="0"/>
        <w:jc w:val="center"/>
        <w:rPr>
          <w:b/>
          <w:bCs/>
        </w:rPr>
      </w:pPr>
      <w:r>
        <w:rPr>
          <w:b/>
          <w:bCs/>
        </w:rPr>
        <w:t>ВЫПОЛНЕНИЕ РАБОТ ПО АКТУАЛИЗАЦИИ ГЕОИНФОРМАЦИОННОЙ СИСТЕМЫ ВОДОСНАБЖЕНИЯ И ВОДООТВЕДЕНИЯ БЕЛОВСКОГО ГОРОДСКОГО ОКРУГА КЕМЕРОВСКОЙ ОБЛАСТИ – КУЗБАССА НА 2024 ГОД</w:t>
      </w:r>
    </w:p>
    <w:p>
      <w:pPr>
        <w:pStyle w:val="Normal"/>
        <w:ind w:hanging="0"/>
        <w:jc w:val="center"/>
        <w:rPr/>
      </w:pPr>
      <w:r>
        <w:rPr/>
      </w:r>
    </w:p>
    <w:p>
      <w:pPr>
        <w:pStyle w:val="Normal"/>
        <w:ind w:hanging="0"/>
        <w:jc w:val="center"/>
        <w:rPr/>
      </w:pPr>
      <w:r>
        <w:rPr/>
      </w:r>
    </w:p>
    <w:p>
      <w:pPr>
        <w:pStyle w:val="Normal"/>
        <w:ind w:hanging="0"/>
        <w:rPr/>
      </w:pPr>
      <w:r>
        <w:rPr/>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w:t>
      </w:r>
      <w:r>
        <w:rPr/>
        <w:fldChar w:fldCharType="begin"/>
      </w:r>
      <w:r>
        <w:rPr/>
        <w:instrText xml:space="preserve"> REF _Ref154862887 \n \h </w:instrText>
      </w:r>
      <w:r>
        <w:rPr/>
        <w:fldChar w:fldCharType="separate"/>
      </w:r>
      <w:r>
        <w:rPr/>
        <w:t>1</w:t>
      </w:r>
      <w:r>
        <w:rPr/>
        <w:fldChar w:fldCharType="end"/>
      </w:r>
      <w:r>
        <w:rPr/>
        <w:t>], не содержится.</w:t>
      </w:r>
    </w:p>
    <w:p>
      <w:pPr>
        <w:pStyle w:val="Normal"/>
        <w:ind w:hanging="0"/>
        <w:jc w:val="center"/>
        <w:rPr/>
      </w:pPr>
      <w:r>
        <w:rPr/>
      </w:r>
    </w:p>
    <w:p>
      <w:pPr>
        <w:pStyle w:val="Normal"/>
        <w:ind w:hanging="0"/>
        <w:jc w:val="center"/>
        <w:rPr/>
      </w:pPr>
      <w:r>
        <w:rPr/>
      </w:r>
    </w:p>
    <w:p>
      <w:pPr>
        <w:pStyle w:val="Normal"/>
        <w:ind w:hanging="0"/>
        <w:jc w:val="center"/>
        <w:rPr>
          <w:szCs w:val="22"/>
        </w:rPr>
      </w:pPr>
      <w:r>
        <w:rPr>
          <w:szCs w:val="22"/>
        </w:rPr>
      </w:r>
    </w:p>
    <w:p>
      <w:pPr>
        <w:pStyle w:val="Normal"/>
        <w:ind w:hanging="0"/>
        <w:jc w:val="center"/>
        <w:rPr>
          <w:sz w:val="36"/>
          <w:szCs w:val="32"/>
        </w:rPr>
      </w:pPr>
      <w:r>
        <w:rPr>
          <w:sz w:val="36"/>
          <w:szCs w:val="32"/>
        </w:rPr>
      </w:r>
    </w:p>
    <w:p>
      <w:pPr>
        <w:sectPr>
          <w:type w:val="nextPage"/>
          <w:pgSz w:w="11906" w:h="16838"/>
          <w:pgMar w:left="1701" w:right="850" w:gutter="0" w:header="0" w:top="1134" w:footer="0" w:bottom="1134"/>
          <w:pgBorders w:display="allPages" w:offsetFrom="text">
            <w:top w:val="single" w:sz="8" w:space="0" w:color="000000"/>
            <w:left w:val="single" w:sz="8" w:space="0" w:color="000000"/>
            <w:bottom w:val="single" w:sz="8" w:space="0" w:color="000000"/>
            <w:right w:val="single" w:sz="8" w:space="0" w:color="000000"/>
          </w:pgBorders>
          <w:pgNumType w:fmt="decimal"/>
          <w:formProt w:val="false"/>
          <w:textDirection w:val="lrTb"/>
          <w:docGrid w:type="default" w:linePitch="360" w:charSpace="0"/>
        </w:sectPr>
        <w:pStyle w:val="Normal"/>
        <w:ind w:hanging="0"/>
        <w:jc w:val="center"/>
        <w:rPr/>
      </w:pPr>
      <w:r>
        <w:rPr/>
        <w:t>Беловский городской округ, 2024</w:t>
      </w:r>
    </w:p>
    <w:p>
      <w:pPr>
        <w:pStyle w:val="Style27"/>
        <w:rPr/>
      </w:pPr>
      <w:bookmarkStart w:id="0" w:name="_Toc158814545"/>
      <w:r>
        <w:rPr/>
        <w:t>Список исполнителей</w:t>
      </w:r>
      <w:bookmarkEnd w:id="0"/>
    </w:p>
    <w:p>
      <w:pPr>
        <w:pStyle w:val="Normal"/>
        <w:rPr/>
      </w:pPr>
      <w:r>
        <w:rPr/>
        <w:t>Руководитель проекта</w:t>
        <w:tab/>
        <w:tab/>
        <w:tab/>
        <w:tab/>
        <w:tab/>
        <w:tab/>
        <w:t>П.А. Швец</w:t>
      </w:r>
    </w:p>
    <w:p>
      <w:pPr>
        <w:pStyle w:val="Normal"/>
        <w:rPr/>
      </w:pPr>
      <w:r>
        <w:rPr/>
        <w:t>Инженер 1-й категории</w:t>
        <w:tab/>
        <w:tab/>
        <w:tab/>
        <w:tab/>
        <w:tab/>
        <w:tab/>
        <w:t>М.С. Шабетник</w:t>
      </w:r>
    </w:p>
    <w:p>
      <w:pPr>
        <w:pStyle w:val="Normal"/>
        <w:rPr/>
      </w:pPr>
      <w:r>
        <w:rPr/>
        <w:t>Инженер 1-й категории</w:t>
        <w:tab/>
        <w:tab/>
        <w:tab/>
        <w:tab/>
        <w:tab/>
        <w:tab/>
        <w:t>А.С. Данильчук</w:t>
      </w:r>
    </w:p>
    <w:p>
      <w:pPr>
        <w:pStyle w:val="Normal"/>
        <w:rPr/>
      </w:pPr>
      <w:r>
        <w:rPr/>
        <w:t>Инженер 1-й категории</w:t>
        <w:tab/>
        <w:tab/>
        <w:tab/>
        <w:tab/>
        <w:tab/>
        <w:tab/>
        <w:t>И.С. Зайцева</w:t>
      </w:r>
    </w:p>
    <w:p>
      <w:pPr>
        <w:pStyle w:val="Style27"/>
        <w:rPr/>
      </w:pPr>
      <w:bookmarkStart w:id="1" w:name="_Toc158814546"/>
      <w:r>
        <w:rPr/>
        <w:t>Содержание</w:t>
      </w:r>
      <w:bookmarkEnd w:id="1"/>
    </w:p>
    <w:sdt>
      <w:sdtPr>
        <w:docPartObj>
          <w:docPartGallery w:val="Table of Contents"/>
          <w:docPartUnique w:val="true"/>
        </w:docPartObj>
      </w:sdtPr>
      <w:sdtContent>
        <w:p>
          <w:pPr>
            <w:pStyle w:val="13"/>
            <w:tabs>
              <w:tab w:val="clear" w:pos="708"/>
              <w:tab w:val="right" w:pos="9345" w:leader="dot"/>
            </w:tabs>
            <w:rPr>
              <w:rFonts w:ascii="Calibri" w:hAnsi="Calibri" w:eastAsia="" w:asciiTheme="minorHAnsi" w:eastAsiaTheme="minorEastAsia" w:hAnsiTheme="minorHAnsi"/>
              <w:sz w:val="22"/>
              <w:szCs w:val="22"/>
              <w:lang w:eastAsia="ru-RU"/>
            </w:rPr>
          </w:pPr>
          <w:r>
            <w:fldChar w:fldCharType="begin"/>
          </w:r>
          <w:r>
            <w:rPr>
              <w:webHidden/>
              <w:rStyle w:val="Style20"/>
            </w:rPr>
            <w:instrText xml:space="preserve"> TOC \z \o "1-4" \u \h</w:instrText>
          </w:r>
          <w:r>
            <w:rPr>
              <w:webHidden/>
              <w:rStyle w:val="Style20"/>
            </w:rPr>
            <w:fldChar w:fldCharType="separate"/>
          </w:r>
          <w:hyperlink w:anchor="_Toc158814545">
            <w:r>
              <w:rPr>
                <w:webHidden/>
                <w:rStyle w:val="Style20"/>
              </w:rPr>
              <w:t>Список исполнителей</w:t>
            </w:r>
            <w:r>
              <w:rPr>
                <w:webHidden/>
              </w:rPr>
              <w:fldChar w:fldCharType="begin"/>
            </w:r>
            <w:r>
              <w:rPr>
                <w:webHidden/>
              </w:rPr>
              <w:instrText xml:space="preserve">PAGEREF _Toc158814545 \h</w:instrText>
            </w:r>
            <w:r>
              <w:rPr>
                <w:webHidden/>
              </w:rPr>
              <w:fldChar w:fldCharType="separate"/>
            </w:r>
            <w:r>
              <w:rPr>
                <w:rStyle w:val="Style20"/>
                <w:vanish w:val="false"/>
              </w:rPr>
              <w:tab/>
              <w:t>2</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46">
            <w:r>
              <w:rPr>
                <w:webHidden/>
                <w:rStyle w:val="Style20"/>
              </w:rPr>
              <w:t>Содержание</w:t>
            </w:r>
            <w:r>
              <w:rPr>
                <w:webHidden/>
              </w:rPr>
              <w:fldChar w:fldCharType="begin"/>
            </w:r>
            <w:r>
              <w:rPr>
                <w:webHidden/>
              </w:rPr>
              <w:instrText xml:space="preserve">PAGEREF _Toc158814546 \h</w:instrText>
            </w:r>
            <w:r>
              <w:rPr>
                <w:webHidden/>
              </w:rPr>
              <w:fldChar w:fldCharType="separate"/>
            </w:r>
            <w:r>
              <w:rPr>
                <w:rStyle w:val="Style20"/>
                <w:vanish w:val="false"/>
              </w:rPr>
              <w:tab/>
              <w:t>3</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47">
            <w:r>
              <w:rPr>
                <w:webHidden/>
                <w:rStyle w:val="Style20"/>
              </w:rPr>
              <w:t>Реферат</w:t>
            </w:r>
            <w:r>
              <w:rPr>
                <w:webHidden/>
              </w:rPr>
              <w:fldChar w:fldCharType="begin"/>
            </w:r>
            <w:r>
              <w:rPr>
                <w:webHidden/>
              </w:rPr>
              <w:instrText xml:space="preserve">PAGEREF _Toc158814547 \h</w:instrText>
            </w:r>
            <w:r>
              <w:rPr>
                <w:webHidden/>
              </w:rPr>
              <w:fldChar w:fldCharType="separate"/>
            </w:r>
            <w:r>
              <w:rPr>
                <w:rStyle w:val="Style20"/>
                <w:vanish w:val="false"/>
              </w:rPr>
              <w:tab/>
              <w:t>10</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48">
            <w:r>
              <w:rPr>
                <w:webHidden/>
                <w:rStyle w:val="Style20"/>
              </w:rPr>
              <w:t>Термины и определения</w:t>
            </w:r>
            <w:r>
              <w:rPr>
                <w:webHidden/>
              </w:rPr>
              <w:fldChar w:fldCharType="begin"/>
            </w:r>
            <w:r>
              <w:rPr>
                <w:webHidden/>
              </w:rPr>
              <w:instrText xml:space="preserve">PAGEREF _Toc158814548 \h</w:instrText>
            </w:r>
            <w:r>
              <w:rPr>
                <w:webHidden/>
              </w:rPr>
              <w:fldChar w:fldCharType="separate"/>
            </w:r>
            <w:r>
              <w:rPr>
                <w:rStyle w:val="Style20"/>
                <w:vanish w:val="false"/>
              </w:rPr>
              <w:tab/>
              <w:t>11</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49">
            <w:r>
              <w:rPr>
                <w:webHidden/>
                <w:rStyle w:val="Style20"/>
              </w:rPr>
              <w:t>Перечень сокращений и обозначений</w:t>
            </w:r>
            <w:r>
              <w:rPr>
                <w:webHidden/>
              </w:rPr>
              <w:fldChar w:fldCharType="begin"/>
            </w:r>
            <w:r>
              <w:rPr>
                <w:webHidden/>
              </w:rPr>
              <w:instrText xml:space="preserve">PAGEREF _Toc158814549 \h</w:instrText>
            </w:r>
            <w:r>
              <w:rPr>
                <w:webHidden/>
              </w:rPr>
              <w:fldChar w:fldCharType="separate"/>
            </w:r>
            <w:r>
              <w:rPr>
                <w:rStyle w:val="Style20"/>
                <w:vanish w:val="false"/>
              </w:rPr>
              <w:tab/>
              <w:t>17</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50">
            <w:r>
              <w:rPr>
                <w:webHidden/>
                <w:rStyle w:val="Style20"/>
              </w:rPr>
              <w:t>Введение</w:t>
            </w:r>
            <w:r>
              <w:rPr>
                <w:webHidden/>
              </w:rPr>
              <w:fldChar w:fldCharType="begin"/>
            </w:r>
            <w:r>
              <w:rPr>
                <w:webHidden/>
              </w:rPr>
              <w:instrText xml:space="preserve">PAGEREF _Toc158814550 \h</w:instrText>
            </w:r>
            <w:r>
              <w:rPr>
                <w:webHidden/>
              </w:rPr>
              <w:fldChar w:fldCharType="separate"/>
            </w:r>
            <w:r>
              <w:rPr>
                <w:rStyle w:val="Style20"/>
                <w:vanish w:val="false"/>
              </w:rPr>
              <w:tab/>
              <w:t>18</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551">
            <w:r>
              <w:rPr>
                <w:webHidden/>
                <w:rStyle w:val="Style20"/>
              </w:rPr>
              <w:t>Часть 1 «Схема водоснабжения»</w:t>
            </w:r>
            <w:r>
              <w:rPr>
                <w:webHidden/>
              </w:rPr>
              <w:fldChar w:fldCharType="begin"/>
            </w:r>
            <w:r>
              <w:rPr>
                <w:webHidden/>
              </w:rPr>
              <w:instrText xml:space="preserve">PAGEREF _Toc158814551 \h</w:instrText>
            </w:r>
            <w:r>
              <w:rPr>
                <w:webHidden/>
              </w:rPr>
              <w:fldChar w:fldCharType="separate"/>
            </w:r>
            <w:r>
              <w:rPr>
                <w:rStyle w:val="Style20"/>
                <w:vanish w:val="false"/>
              </w:rPr>
              <w:tab/>
              <w:t>19</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52">
            <w:r>
              <w:rPr>
                <w:webHidden/>
                <w:rStyle w:val="Style20"/>
              </w:rPr>
              <w:t>Раздел 1.1 Технико-экономическое состояние централизованных систем водоснабжения поселения, городского округа</w:t>
            </w:r>
            <w:r>
              <w:rPr>
                <w:webHidden/>
              </w:rPr>
              <w:fldChar w:fldCharType="begin"/>
            </w:r>
            <w:r>
              <w:rPr>
                <w:webHidden/>
              </w:rPr>
              <w:instrText xml:space="preserve">PAGEREF _Toc158814552 \h</w:instrText>
            </w:r>
            <w:r>
              <w:rPr>
                <w:webHidden/>
              </w:rPr>
              <w:fldChar w:fldCharType="separate"/>
            </w:r>
            <w:r>
              <w:rPr>
                <w:rStyle w:val="Style20"/>
                <w:vanish w:val="false"/>
              </w:rPr>
              <w:tab/>
              <w:t>19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53">
            <w:r>
              <w:rPr>
                <w:webHidden/>
                <w:rStyle w:val="Style20"/>
              </w:rPr>
              <w:t>Подраздел 1.1.1 Описание системы и структуры водоснабжения поселения, городского округа и деление территории поселения, городского округа на эксплуатационные зоны</w:t>
            </w:r>
            <w:r>
              <w:rPr>
                <w:webHidden/>
              </w:rPr>
              <w:fldChar w:fldCharType="begin"/>
            </w:r>
            <w:r>
              <w:rPr>
                <w:webHidden/>
              </w:rPr>
              <w:instrText xml:space="preserve">PAGEREF _Toc158814553 \h</w:instrText>
            </w:r>
            <w:r>
              <w:rPr>
                <w:webHidden/>
              </w:rPr>
              <w:fldChar w:fldCharType="separate"/>
            </w:r>
            <w:r>
              <w:rPr>
                <w:rStyle w:val="Style20"/>
                <w:vanish w:val="false"/>
              </w:rPr>
              <w:tab/>
              <w:t>19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54">
            <w:r>
              <w:rPr>
                <w:webHidden/>
                <w:rStyle w:val="Style20"/>
              </w:rPr>
              <w:t>Подраздел 1.1.2 Описание территорий поселения, городского округа, не охваченных централизованными системами водоснабжения</w:t>
            </w:r>
            <w:r>
              <w:rPr>
                <w:webHidden/>
              </w:rPr>
              <w:fldChar w:fldCharType="begin"/>
            </w:r>
            <w:r>
              <w:rPr>
                <w:webHidden/>
              </w:rPr>
              <w:instrText xml:space="preserve">PAGEREF _Toc158814554 \h</w:instrText>
            </w:r>
            <w:r>
              <w:rPr>
                <w:webHidden/>
              </w:rPr>
              <w:fldChar w:fldCharType="separate"/>
            </w:r>
            <w:r>
              <w:rPr>
                <w:rStyle w:val="Style20"/>
                <w:vanish w:val="false"/>
              </w:rPr>
              <w:tab/>
              <w:t>39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55">
            <w:r>
              <w:rPr>
                <w:webHidden/>
                <w:rStyle w:val="Style20"/>
              </w:rPr>
              <w:t>Подраздел 1.1.3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Pr>
                <w:webHidden/>
              </w:rPr>
              <w:fldChar w:fldCharType="begin"/>
            </w:r>
            <w:r>
              <w:rPr>
                <w:webHidden/>
              </w:rPr>
              <w:instrText xml:space="preserve">PAGEREF _Toc158814555 \h</w:instrText>
            </w:r>
            <w:r>
              <w:rPr>
                <w:webHidden/>
              </w:rPr>
              <w:fldChar w:fldCharType="separate"/>
            </w:r>
            <w:r>
              <w:rPr>
                <w:rStyle w:val="Style20"/>
                <w:vanish w:val="false"/>
              </w:rPr>
              <w:tab/>
              <w:t>39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56">
            <w:r>
              <w:rPr>
                <w:webHidden/>
                <w:rStyle w:val="Style20"/>
              </w:rPr>
              <w:t>Подраздел 1.1.4 Описание результатов технического обследования централизованных систем водоснабжения</w:t>
            </w:r>
            <w:r>
              <w:rPr>
                <w:webHidden/>
              </w:rPr>
              <w:fldChar w:fldCharType="begin"/>
            </w:r>
            <w:r>
              <w:rPr>
                <w:webHidden/>
              </w:rPr>
              <w:instrText xml:space="preserve">PAGEREF _Toc158814556 \h</w:instrText>
            </w:r>
            <w:r>
              <w:rPr>
                <w:webHidden/>
              </w:rPr>
              <w:fldChar w:fldCharType="separate"/>
            </w:r>
            <w:r>
              <w:rPr>
                <w:rStyle w:val="Style20"/>
                <w:vanish w:val="false"/>
              </w:rPr>
              <w:tab/>
              <w:t>45</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57">
            <w:r>
              <w:rPr>
                <w:webHidden/>
                <w:rStyle w:val="Style20"/>
              </w:rPr>
              <w:t>Пункт 1.1.4.1 Описание состояния существующих источников водоснабжения и водозаборных сооружений</w:t>
            </w:r>
            <w:r>
              <w:rPr>
                <w:webHidden/>
              </w:rPr>
              <w:fldChar w:fldCharType="begin"/>
            </w:r>
            <w:r>
              <w:rPr>
                <w:webHidden/>
              </w:rPr>
              <w:instrText xml:space="preserve">PAGEREF _Toc158814557 \h</w:instrText>
            </w:r>
            <w:r>
              <w:rPr>
                <w:webHidden/>
              </w:rPr>
              <w:fldChar w:fldCharType="separate"/>
            </w:r>
            <w:r>
              <w:rPr>
                <w:rStyle w:val="Style20"/>
                <w:vanish w:val="false"/>
              </w:rPr>
              <w:tab/>
              <w:t>45</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58">
            <w:r>
              <w:rPr>
                <w:webHidden/>
                <w:rStyle w:val="Style20"/>
              </w:rPr>
              <w:t>Пункт 1.1.4.2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Pr>
                <w:webHidden/>
              </w:rPr>
              <w:fldChar w:fldCharType="begin"/>
            </w:r>
            <w:r>
              <w:rPr>
                <w:webHidden/>
              </w:rPr>
              <w:instrText xml:space="preserve">PAGEREF _Toc158814558 \h</w:instrText>
            </w:r>
            <w:r>
              <w:rPr>
                <w:webHidden/>
              </w:rPr>
              <w:fldChar w:fldCharType="separate"/>
            </w:r>
            <w:r>
              <w:rPr>
                <w:rStyle w:val="Style20"/>
                <w:vanish w:val="false"/>
              </w:rPr>
              <w:tab/>
              <w:t>47</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59">
            <w:r>
              <w:rPr>
                <w:webHidden/>
                <w:rStyle w:val="Style20"/>
              </w:rPr>
              <w:t>Пункт 1.1.4.3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Pr>
                <w:webHidden/>
              </w:rPr>
              <w:fldChar w:fldCharType="begin"/>
            </w:r>
            <w:r>
              <w:rPr>
                <w:webHidden/>
              </w:rPr>
              <w:instrText xml:space="preserve">PAGEREF _Toc158814559 \h</w:instrText>
            </w:r>
            <w:r>
              <w:rPr>
                <w:webHidden/>
              </w:rPr>
              <w:fldChar w:fldCharType="separate"/>
            </w:r>
            <w:r>
              <w:rPr>
                <w:rStyle w:val="Style20"/>
                <w:vanish w:val="false"/>
              </w:rPr>
              <w:tab/>
              <w:t>47</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60">
            <w:r>
              <w:rPr>
                <w:webHidden/>
                <w:rStyle w:val="Style20"/>
              </w:rPr>
              <w:t>Пункт 1.1.4.4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Pr>
                <w:webHidden/>
              </w:rPr>
              <w:fldChar w:fldCharType="begin"/>
            </w:r>
            <w:r>
              <w:rPr>
                <w:webHidden/>
              </w:rPr>
              <w:instrText xml:space="preserve">PAGEREF _Toc158814560 \h</w:instrText>
            </w:r>
            <w:r>
              <w:rPr>
                <w:webHidden/>
              </w:rPr>
              <w:fldChar w:fldCharType="separate"/>
            </w:r>
            <w:r>
              <w:rPr>
                <w:rStyle w:val="Style20"/>
                <w:vanish w:val="false"/>
              </w:rPr>
              <w:tab/>
              <w:t>48</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61">
            <w:r>
              <w:rPr>
                <w:webHidden/>
                <w:rStyle w:val="Style20"/>
              </w:rPr>
              <w:t>Пункт 1.1.4.5 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Pr>
                <w:webHidden/>
              </w:rPr>
              <w:fldChar w:fldCharType="begin"/>
            </w:r>
            <w:r>
              <w:rPr>
                <w:webHidden/>
              </w:rPr>
              <w:instrText xml:space="preserve">PAGEREF _Toc158814561 \h</w:instrText>
            </w:r>
            <w:r>
              <w:rPr>
                <w:webHidden/>
              </w:rPr>
              <w:fldChar w:fldCharType="separate"/>
            </w:r>
            <w:r>
              <w:rPr>
                <w:rStyle w:val="Style20"/>
                <w:vanish w:val="false"/>
              </w:rPr>
              <w:tab/>
              <w:t>57</w:t>
            </w:r>
            <w:r>
              <w:rPr>
                <w:webHidden/>
              </w:rPr>
              <w:fldChar w:fldCharType="end"/>
            </w:r>
          </w:hyperlink>
        </w:p>
        <w:p>
          <w:pPr>
            <w:pStyle w:val="43"/>
            <w:tabs>
              <w:tab w:val="clear" w:pos="708"/>
              <w:tab w:val="right" w:pos="9345" w:leader="dot"/>
            </w:tabs>
            <w:rPr>
              <w:rFonts w:ascii="Calibri" w:hAnsi="Calibri" w:eastAsia="" w:asciiTheme="minorHAnsi" w:eastAsiaTheme="minorEastAsia" w:hAnsiTheme="minorHAnsi"/>
              <w:sz w:val="22"/>
              <w:szCs w:val="22"/>
              <w:lang w:eastAsia="ru-RU"/>
            </w:rPr>
          </w:pPr>
          <w:hyperlink w:anchor="_Toc158814562">
            <w:r>
              <w:rPr>
                <w:webHidden/>
                <w:rStyle w:val="Style20"/>
              </w:rPr>
              <w:t>Пункт 1.1.4.6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webHidden/>
              </w:rPr>
              <w:fldChar w:fldCharType="begin"/>
            </w:r>
            <w:r>
              <w:rPr>
                <w:webHidden/>
              </w:rPr>
              <w:instrText xml:space="preserve">PAGEREF _Toc158814562 \h</w:instrText>
            </w:r>
            <w:r>
              <w:rPr>
                <w:webHidden/>
              </w:rPr>
              <w:fldChar w:fldCharType="separate"/>
            </w:r>
            <w:r>
              <w:rPr>
                <w:rStyle w:val="Style20"/>
                <w:vanish w:val="false"/>
              </w:rPr>
              <w:tab/>
              <w:t>58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63">
            <w:r>
              <w:rPr>
                <w:webHidden/>
                <w:rStyle w:val="Style20"/>
              </w:rPr>
              <w:t>Подраздел 1.1.5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Pr>
                <w:webHidden/>
              </w:rPr>
              <w:fldChar w:fldCharType="begin"/>
            </w:r>
            <w:r>
              <w:rPr>
                <w:webHidden/>
              </w:rPr>
              <w:instrText xml:space="preserve">PAGEREF _Toc158814563 \h</w:instrText>
            </w:r>
            <w:r>
              <w:rPr>
                <w:webHidden/>
              </w:rPr>
              <w:fldChar w:fldCharType="separate"/>
            </w:r>
            <w:r>
              <w:rPr>
                <w:rStyle w:val="Style20"/>
                <w:vanish w:val="false"/>
              </w:rPr>
              <w:tab/>
              <w:t>59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64">
            <w:r>
              <w:rPr>
                <w:webHidden/>
                <w:rStyle w:val="Style20"/>
              </w:rPr>
              <w:t>Подраздел 1.1.6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Pr>
                <w:webHidden/>
              </w:rPr>
              <w:fldChar w:fldCharType="begin"/>
            </w:r>
            <w:r>
              <w:rPr>
                <w:webHidden/>
              </w:rPr>
              <w:instrText xml:space="preserve">PAGEREF _Toc158814564 \h</w:instrText>
            </w:r>
            <w:r>
              <w:rPr>
                <w:webHidden/>
              </w:rPr>
              <w:fldChar w:fldCharType="separate"/>
            </w:r>
            <w:r>
              <w:rPr>
                <w:rStyle w:val="Style20"/>
                <w:vanish w:val="false"/>
              </w:rPr>
              <w:tab/>
              <w:t>59</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65">
            <w:r>
              <w:rPr>
                <w:webHidden/>
                <w:rStyle w:val="Style20"/>
              </w:rPr>
              <w:t>Раздел 1.2 Направления развития централизованных систем водоснабжения</w:t>
            </w:r>
            <w:r>
              <w:rPr>
                <w:webHidden/>
              </w:rPr>
              <w:fldChar w:fldCharType="begin"/>
            </w:r>
            <w:r>
              <w:rPr>
                <w:webHidden/>
              </w:rPr>
              <w:instrText xml:space="preserve">PAGEREF _Toc158814565 \h</w:instrText>
            </w:r>
            <w:r>
              <w:rPr>
                <w:webHidden/>
              </w:rPr>
              <w:fldChar w:fldCharType="separate"/>
            </w:r>
            <w:r>
              <w:rPr>
                <w:rStyle w:val="Style20"/>
                <w:vanish w:val="false"/>
              </w:rPr>
              <w:tab/>
              <w:t>60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66">
            <w:r>
              <w:rPr>
                <w:webHidden/>
                <w:rStyle w:val="Style20"/>
              </w:rPr>
              <w:t>Подраздел 1.2.1 Основные направления, принципы, задачи и плановые значения показателей развития централизованных систем водоснабжения</w:t>
            </w:r>
            <w:r>
              <w:rPr>
                <w:webHidden/>
              </w:rPr>
              <w:fldChar w:fldCharType="begin"/>
            </w:r>
            <w:r>
              <w:rPr>
                <w:webHidden/>
              </w:rPr>
              <w:instrText xml:space="preserve">PAGEREF _Toc158814566 \h</w:instrText>
            </w:r>
            <w:r>
              <w:rPr>
                <w:webHidden/>
              </w:rPr>
              <w:fldChar w:fldCharType="separate"/>
            </w:r>
            <w:r>
              <w:rPr>
                <w:rStyle w:val="Style20"/>
                <w:vanish w:val="false"/>
              </w:rPr>
              <w:tab/>
              <w:t>60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67">
            <w:r>
              <w:rPr>
                <w:webHidden/>
                <w:rStyle w:val="Style20"/>
              </w:rPr>
              <w:t>Подраздел 1.2.2 Различные сценарии развития централизованных систем водоснабжения в зависимости от различных сценариев развития поселений, городских округов</w:t>
            </w:r>
            <w:r>
              <w:rPr>
                <w:webHidden/>
              </w:rPr>
              <w:fldChar w:fldCharType="begin"/>
            </w:r>
            <w:r>
              <w:rPr>
                <w:webHidden/>
              </w:rPr>
              <w:instrText xml:space="preserve">PAGEREF _Toc158814567 \h</w:instrText>
            </w:r>
            <w:r>
              <w:rPr>
                <w:webHidden/>
              </w:rPr>
              <w:fldChar w:fldCharType="separate"/>
            </w:r>
            <w:r>
              <w:rPr>
                <w:rStyle w:val="Style20"/>
                <w:vanish w:val="false"/>
              </w:rPr>
              <w:tab/>
              <w:t>61</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68">
            <w:r>
              <w:rPr>
                <w:webHidden/>
                <w:rStyle w:val="Style20"/>
              </w:rPr>
              <w:t>Раздел 1.3 Баланс водоснабжения и потребления горячей, питьевой, технической воды</w:t>
            </w:r>
            <w:r>
              <w:rPr>
                <w:webHidden/>
              </w:rPr>
              <w:fldChar w:fldCharType="begin"/>
            </w:r>
            <w:r>
              <w:rPr>
                <w:webHidden/>
              </w:rPr>
              <w:instrText xml:space="preserve">PAGEREF _Toc158814568 \h</w:instrText>
            </w:r>
            <w:r>
              <w:rPr>
                <w:webHidden/>
              </w:rPr>
              <w:fldChar w:fldCharType="separate"/>
            </w:r>
            <w:r>
              <w:rPr>
                <w:rStyle w:val="Style20"/>
                <w:vanish w:val="false"/>
              </w:rPr>
              <w:tab/>
              <w:t>63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69">
            <w:r>
              <w:rPr>
                <w:webHidden/>
                <w:rStyle w:val="Style20"/>
              </w:rPr>
              <w:t>Подраздел 1.3.1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Pr>
                <w:webHidden/>
              </w:rPr>
              <w:fldChar w:fldCharType="begin"/>
            </w:r>
            <w:r>
              <w:rPr>
                <w:webHidden/>
              </w:rPr>
              <w:instrText xml:space="preserve">PAGEREF _Toc158814569 \h</w:instrText>
            </w:r>
            <w:r>
              <w:rPr>
                <w:webHidden/>
              </w:rPr>
              <w:fldChar w:fldCharType="separate"/>
            </w:r>
            <w:r>
              <w:rPr>
                <w:rStyle w:val="Style20"/>
                <w:vanish w:val="false"/>
              </w:rPr>
              <w:tab/>
              <w:t>63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0">
            <w:r>
              <w:rPr>
                <w:webHidden/>
                <w:rStyle w:val="Style20"/>
              </w:rPr>
              <w:t>Подраздел 1.3.2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Pr>
                <w:webHidden/>
              </w:rPr>
              <w:fldChar w:fldCharType="begin"/>
            </w:r>
            <w:r>
              <w:rPr>
                <w:webHidden/>
              </w:rPr>
              <w:instrText xml:space="preserve">PAGEREF _Toc158814570 \h</w:instrText>
            </w:r>
            <w:r>
              <w:rPr>
                <w:webHidden/>
              </w:rPr>
              <w:fldChar w:fldCharType="separate"/>
            </w:r>
            <w:r>
              <w:rPr>
                <w:rStyle w:val="Style20"/>
                <w:vanish w:val="false"/>
              </w:rPr>
              <w:tab/>
              <w:t>66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1">
            <w:r>
              <w:rPr>
                <w:webHidden/>
                <w:rStyle w:val="Style20"/>
              </w:rPr>
              <w:t>Подраздел 1.3.3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Pr>
                <w:webHidden/>
              </w:rPr>
              <w:fldChar w:fldCharType="begin"/>
            </w:r>
            <w:r>
              <w:rPr>
                <w:webHidden/>
              </w:rPr>
              <w:instrText xml:space="preserve">PAGEREF _Toc158814571 \h</w:instrText>
            </w:r>
            <w:r>
              <w:rPr>
                <w:webHidden/>
              </w:rPr>
              <w:fldChar w:fldCharType="separate"/>
            </w:r>
            <w:r>
              <w:rPr>
                <w:rStyle w:val="Style20"/>
                <w:vanish w:val="false"/>
              </w:rPr>
              <w:tab/>
              <w:t>67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2">
            <w:r>
              <w:rPr>
                <w:webHidden/>
                <w:rStyle w:val="Style20"/>
              </w:rPr>
              <w:t>Подраздел 1.3.4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Pr>
                <w:webHidden/>
              </w:rPr>
              <w:fldChar w:fldCharType="begin"/>
            </w:r>
            <w:r>
              <w:rPr>
                <w:webHidden/>
              </w:rPr>
              <w:instrText xml:space="preserve">PAGEREF _Toc158814572 \h</w:instrText>
            </w:r>
            <w:r>
              <w:rPr>
                <w:webHidden/>
              </w:rPr>
              <w:fldChar w:fldCharType="separate"/>
            </w:r>
            <w:r>
              <w:rPr>
                <w:rStyle w:val="Style20"/>
                <w:vanish w:val="false"/>
              </w:rPr>
              <w:tab/>
              <w:t>68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3">
            <w:r>
              <w:rPr>
                <w:webHidden/>
                <w:rStyle w:val="Style20"/>
              </w:rPr>
              <w:t>Подраздел 1.3.5 Описание существующей системы коммерческого учета горячей, питьевой, технической воды и планов по установке приборов учета</w:t>
            </w:r>
            <w:r>
              <w:rPr>
                <w:webHidden/>
              </w:rPr>
              <w:fldChar w:fldCharType="begin"/>
            </w:r>
            <w:r>
              <w:rPr>
                <w:webHidden/>
              </w:rPr>
              <w:instrText xml:space="preserve">PAGEREF _Toc158814573 \h</w:instrText>
            </w:r>
            <w:r>
              <w:rPr>
                <w:webHidden/>
              </w:rPr>
              <w:fldChar w:fldCharType="separate"/>
            </w:r>
            <w:r>
              <w:rPr>
                <w:rStyle w:val="Style20"/>
                <w:vanish w:val="false"/>
              </w:rPr>
              <w:tab/>
              <w:t>71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4">
            <w:r>
              <w:rPr>
                <w:webHidden/>
                <w:rStyle w:val="Style20"/>
              </w:rPr>
              <w:t>Подраздел 1.3.6 Анализ резервов и дефицитов производственных мощностей системы водоснабжения поселения, городского округа</w:t>
            </w:r>
            <w:r>
              <w:rPr>
                <w:webHidden/>
              </w:rPr>
              <w:fldChar w:fldCharType="begin"/>
            </w:r>
            <w:r>
              <w:rPr>
                <w:webHidden/>
              </w:rPr>
              <w:instrText xml:space="preserve">PAGEREF _Toc158814574 \h</w:instrText>
            </w:r>
            <w:r>
              <w:rPr>
                <w:webHidden/>
              </w:rPr>
              <w:fldChar w:fldCharType="separate"/>
            </w:r>
            <w:r>
              <w:rPr>
                <w:rStyle w:val="Style20"/>
                <w:vanish w:val="false"/>
              </w:rPr>
              <w:tab/>
              <w:t>73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5">
            <w:r>
              <w:rPr>
                <w:webHidden/>
                <w:rStyle w:val="Style20"/>
              </w:rPr>
              <w:t>Подраздел 1.3.7 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Pr>
                <w:webHidden/>
              </w:rPr>
              <w:fldChar w:fldCharType="begin"/>
            </w:r>
            <w:r>
              <w:rPr>
                <w:webHidden/>
              </w:rPr>
              <w:instrText xml:space="preserve">PAGEREF _Toc158814575 \h</w:instrText>
            </w:r>
            <w:r>
              <w:rPr>
                <w:webHidden/>
              </w:rPr>
              <w:fldChar w:fldCharType="separate"/>
            </w:r>
            <w:r>
              <w:rPr>
                <w:rStyle w:val="Style20"/>
                <w:vanish w:val="false"/>
              </w:rPr>
              <w:tab/>
              <w:t>73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6">
            <w:r>
              <w:rPr>
                <w:webHidden/>
                <w:rStyle w:val="Style20"/>
              </w:rPr>
              <w:t>Подраздел 1.3.8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webHidden/>
              </w:rPr>
              <w:fldChar w:fldCharType="begin"/>
            </w:r>
            <w:r>
              <w:rPr>
                <w:webHidden/>
              </w:rPr>
              <w:instrText xml:space="preserve">PAGEREF _Toc158814576 \h</w:instrText>
            </w:r>
            <w:r>
              <w:rPr>
                <w:webHidden/>
              </w:rPr>
              <w:fldChar w:fldCharType="separate"/>
            </w:r>
            <w:r>
              <w:rPr>
                <w:rStyle w:val="Style20"/>
                <w:vanish w:val="false"/>
              </w:rPr>
              <w:tab/>
              <w:t>79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7">
            <w:r>
              <w:rPr>
                <w:webHidden/>
                <w:rStyle w:val="Style20"/>
              </w:rPr>
              <w:t>Подраздел 1.3.9 Сведения о фактическом и ожидаемом потреблении горячей, питьевой, технической воды (годовое, среднесуточное, максимальное суточное)</w:t>
            </w:r>
            <w:r>
              <w:rPr>
                <w:webHidden/>
              </w:rPr>
              <w:fldChar w:fldCharType="begin"/>
            </w:r>
            <w:r>
              <w:rPr>
                <w:webHidden/>
              </w:rPr>
              <w:instrText xml:space="preserve">PAGEREF _Toc158814577 \h</w:instrText>
            </w:r>
            <w:r>
              <w:rPr>
                <w:webHidden/>
              </w:rPr>
              <w:fldChar w:fldCharType="separate"/>
            </w:r>
            <w:r>
              <w:rPr>
                <w:rStyle w:val="Style20"/>
                <w:vanish w:val="false"/>
              </w:rPr>
              <w:tab/>
              <w:t>79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8">
            <w:r>
              <w:rPr>
                <w:webHidden/>
                <w:rStyle w:val="Style20"/>
              </w:rPr>
              <w:t>Подраздел 1.3.10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Pr>
                <w:webHidden/>
              </w:rPr>
              <w:fldChar w:fldCharType="begin"/>
            </w:r>
            <w:r>
              <w:rPr>
                <w:webHidden/>
              </w:rPr>
              <w:instrText xml:space="preserve">PAGEREF _Toc158814578 \h</w:instrText>
            </w:r>
            <w:r>
              <w:rPr>
                <w:webHidden/>
              </w:rPr>
              <w:fldChar w:fldCharType="separate"/>
            </w:r>
            <w:r>
              <w:rPr>
                <w:rStyle w:val="Style20"/>
                <w:vanish w:val="false"/>
              </w:rPr>
              <w:tab/>
              <w:t>80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79">
            <w:r>
              <w:rPr>
                <w:webHidden/>
                <w:rStyle w:val="Style20"/>
              </w:rPr>
              <w:t>Подраздел 1.3.11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Pr>
                <w:webHidden/>
              </w:rPr>
              <w:fldChar w:fldCharType="begin"/>
            </w:r>
            <w:r>
              <w:rPr>
                <w:webHidden/>
              </w:rPr>
              <w:instrText xml:space="preserve">PAGEREF _Toc158814579 \h</w:instrText>
            </w:r>
            <w:r>
              <w:rPr>
                <w:webHidden/>
              </w:rPr>
              <w:fldChar w:fldCharType="separate"/>
            </w:r>
            <w:r>
              <w:rPr>
                <w:rStyle w:val="Style20"/>
                <w:vanish w:val="false"/>
              </w:rPr>
              <w:tab/>
              <w:t>80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0">
            <w:r>
              <w:rPr>
                <w:webHidden/>
                <w:rStyle w:val="Style20"/>
              </w:rPr>
              <w:t>Подраздел 1.3.12 Сведения о фактических и планируемых потерях горячей, питьевой, технической воды при ее транспортировке (годовые, среднесуточные значения)</w:t>
            </w:r>
            <w:r>
              <w:rPr>
                <w:webHidden/>
              </w:rPr>
              <w:fldChar w:fldCharType="begin"/>
            </w:r>
            <w:r>
              <w:rPr>
                <w:webHidden/>
              </w:rPr>
              <w:instrText xml:space="preserve">PAGEREF _Toc158814580 \h</w:instrText>
            </w:r>
            <w:r>
              <w:rPr>
                <w:webHidden/>
              </w:rPr>
              <w:fldChar w:fldCharType="separate"/>
            </w:r>
            <w:r>
              <w:rPr>
                <w:rStyle w:val="Style20"/>
                <w:vanish w:val="false"/>
              </w:rPr>
              <w:tab/>
              <w:t>81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1">
            <w:r>
              <w:rPr>
                <w:webHidden/>
                <w:rStyle w:val="Style20"/>
              </w:rPr>
              <w:t>Подраздел 1.3.13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Pr>
                <w:webHidden/>
              </w:rPr>
              <w:fldChar w:fldCharType="begin"/>
            </w:r>
            <w:r>
              <w:rPr>
                <w:webHidden/>
              </w:rPr>
              <w:instrText xml:space="preserve">PAGEREF _Toc158814581 \h</w:instrText>
            </w:r>
            <w:r>
              <w:rPr>
                <w:webHidden/>
              </w:rPr>
              <w:fldChar w:fldCharType="separate"/>
            </w:r>
            <w:r>
              <w:rPr>
                <w:rStyle w:val="Style20"/>
                <w:vanish w:val="false"/>
              </w:rPr>
              <w:tab/>
              <w:t>82</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2">
            <w:r>
              <w:rPr>
                <w:webHidden/>
                <w:rStyle w:val="Style20"/>
              </w:rPr>
              <w:t>Подраздел 1.3.14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Pr>
                <w:webHidden/>
              </w:rPr>
              <w:fldChar w:fldCharType="begin"/>
            </w:r>
            <w:r>
              <w:rPr>
                <w:webHidden/>
              </w:rPr>
              <w:instrText xml:space="preserve">PAGEREF _Toc158814582 \h</w:instrText>
            </w:r>
            <w:r>
              <w:rPr>
                <w:webHidden/>
              </w:rPr>
              <w:fldChar w:fldCharType="separate"/>
            </w:r>
            <w:r>
              <w:rPr>
                <w:rStyle w:val="Style20"/>
                <w:vanish w:val="false"/>
              </w:rPr>
              <w:tab/>
              <w:t>82</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3">
            <w:r>
              <w:rPr>
                <w:webHidden/>
                <w:rStyle w:val="Style20"/>
              </w:rPr>
              <w:t>Подраздел 1.3.15 Наименование организации, которая наделена статусом гарантирующей организации</w:t>
            </w:r>
            <w:r>
              <w:rPr>
                <w:webHidden/>
              </w:rPr>
              <w:fldChar w:fldCharType="begin"/>
            </w:r>
            <w:r>
              <w:rPr>
                <w:webHidden/>
              </w:rPr>
              <w:instrText xml:space="preserve">PAGEREF _Toc158814583 \h</w:instrText>
            </w:r>
            <w:r>
              <w:rPr>
                <w:webHidden/>
              </w:rPr>
              <w:fldChar w:fldCharType="separate"/>
            </w:r>
            <w:r>
              <w:rPr>
                <w:rStyle w:val="Style20"/>
                <w:vanish w:val="false"/>
              </w:rPr>
              <w:tab/>
              <w:t>82</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84">
            <w:r>
              <w:rPr>
                <w:webHidden/>
                <w:rStyle w:val="Style20"/>
              </w:rPr>
              <w:t>Раздел 1.4 Предложения по строительству, реконструкции и модернизации объектов централизованных систем водоснабжения</w:t>
            </w:r>
            <w:r>
              <w:rPr>
                <w:webHidden/>
              </w:rPr>
              <w:fldChar w:fldCharType="begin"/>
            </w:r>
            <w:r>
              <w:rPr>
                <w:webHidden/>
              </w:rPr>
              <w:instrText xml:space="preserve">PAGEREF _Toc158814584 \h</w:instrText>
            </w:r>
            <w:r>
              <w:rPr>
                <w:webHidden/>
              </w:rPr>
              <w:fldChar w:fldCharType="separate"/>
            </w:r>
            <w:r>
              <w:rPr>
                <w:rStyle w:val="Style20"/>
                <w:vanish w:val="false"/>
              </w:rPr>
              <w:tab/>
              <w:t>84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5">
            <w:r>
              <w:rPr>
                <w:webHidden/>
                <w:rStyle w:val="Style20"/>
              </w:rPr>
              <w:t>Подраздел 1.4.1 Перечень основных мероприятий по реализации схем водоснабжения с разбивкой по годам</w:t>
            </w:r>
            <w:r>
              <w:rPr>
                <w:webHidden/>
              </w:rPr>
              <w:fldChar w:fldCharType="begin"/>
            </w:r>
            <w:r>
              <w:rPr>
                <w:webHidden/>
              </w:rPr>
              <w:instrText xml:space="preserve">PAGEREF _Toc158814585 \h</w:instrText>
            </w:r>
            <w:r>
              <w:rPr>
                <w:webHidden/>
              </w:rPr>
              <w:fldChar w:fldCharType="separate"/>
            </w:r>
            <w:r>
              <w:rPr>
                <w:rStyle w:val="Style20"/>
                <w:vanish w:val="false"/>
              </w:rPr>
              <w:tab/>
              <w:t>84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6">
            <w:r>
              <w:rPr>
                <w:webHidden/>
                <w:rStyle w:val="Style20"/>
              </w:rPr>
              <w:t>Подраздел 1.4.2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Pr>
                <w:webHidden/>
              </w:rPr>
              <w:fldChar w:fldCharType="begin"/>
            </w:r>
            <w:r>
              <w:rPr>
                <w:webHidden/>
              </w:rPr>
              <w:instrText xml:space="preserve">PAGEREF _Toc158814586 \h</w:instrText>
            </w:r>
            <w:r>
              <w:rPr>
                <w:webHidden/>
              </w:rPr>
              <w:fldChar w:fldCharType="separate"/>
            </w:r>
            <w:r>
              <w:rPr>
                <w:rStyle w:val="Style20"/>
                <w:vanish w:val="false"/>
              </w:rPr>
              <w:tab/>
              <w:t>86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7">
            <w:r>
              <w:rPr>
                <w:webHidden/>
                <w:rStyle w:val="Style20"/>
              </w:rPr>
              <w:t>Подраздел 1.4.3 Сведения о вновь строящихся, реконструируемых и предлагаемых к выводу из эксплуатации объектах системы водоснабжения</w:t>
            </w:r>
            <w:r>
              <w:rPr>
                <w:webHidden/>
              </w:rPr>
              <w:fldChar w:fldCharType="begin"/>
            </w:r>
            <w:r>
              <w:rPr>
                <w:webHidden/>
              </w:rPr>
              <w:instrText xml:space="preserve">PAGEREF _Toc158814587 \h</w:instrText>
            </w:r>
            <w:r>
              <w:rPr>
                <w:webHidden/>
              </w:rPr>
              <w:fldChar w:fldCharType="separate"/>
            </w:r>
            <w:r>
              <w:rPr>
                <w:rStyle w:val="Style20"/>
                <w:vanish w:val="false"/>
              </w:rPr>
              <w:tab/>
              <w:t>90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8">
            <w:r>
              <w:rPr>
                <w:webHidden/>
                <w:rStyle w:val="Style20"/>
              </w:rPr>
              <w:t>Подраздел 1.4.4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webHidden/>
              </w:rPr>
              <w:fldChar w:fldCharType="begin"/>
            </w:r>
            <w:r>
              <w:rPr>
                <w:webHidden/>
              </w:rPr>
              <w:instrText xml:space="preserve">PAGEREF _Toc158814588 \h</w:instrText>
            </w:r>
            <w:r>
              <w:rPr>
                <w:webHidden/>
              </w:rPr>
              <w:fldChar w:fldCharType="separate"/>
            </w:r>
            <w:r>
              <w:rPr>
                <w:rStyle w:val="Style20"/>
                <w:vanish w:val="false"/>
              </w:rPr>
              <w:tab/>
              <w:t>93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89">
            <w:r>
              <w:rPr>
                <w:webHidden/>
                <w:rStyle w:val="Style20"/>
              </w:rPr>
              <w:t>Подраздел 1.4.5 Сведения об оснащенности зданий, строений, сооружений приборами учета воды и их применении при осуществлении расчетов за потребленную воду</w:t>
            </w:r>
            <w:r>
              <w:rPr>
                <w:webHidden/>
              </w:rPr>
              <w:fldChar w:fldCharType="begin"/>
            </w:r>
            <w:r>
              <w:rPr>
                <w:webHidden/>
              </w:rPr>
              <w:instrText xml:space="preserve">PAGEREF _Toc158814589 \h</w:instrText>
            </w:r>
            <w:r>
              <w:rPr>
                <w:webHidden/>
              </w:rPr>
              <w:fldChar w:fldCharType="separate"/>
            </w:r>
            <w:r>
              <w:rPr>
                <w:rStyle w:val="Style20"/>
                <w:vanish w:val="false"/>
              </w:rPr>
              <w:tab/>
              <w:t>95</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0">
            <w:r>
              <w:rPr>
                <w:webHidden/>
                <w:rStyle w:val="Style20"/>
              </w:rPr>
              <w:t>Подраздел 1.4.6 Описание вариантов маршрутов прохождения трубопроводов (трасс) по территории поселения, городского округа и их обоснование</w:t>
            </w:r>
            <w:r>
              <w:rPr>
                <w:webHidden/>
              </w:rPr>
              <w:fldChar w:fldCharType="begin"/>
            </w:r>
            <w:r>
              <w:rPr>
                <w:webHidden/>
              </w:rPr>
              <w:instrText xml:space="preserve">PAGEREF _Toc158814590 \h</w:instrText>
            </w:r>
            <w:r>
              <w:rPr>
                <w:webHidden/>
              </w:rPr>
              <w:fldChar w:fldCharType="separate"/>
            </w:r>
            <w:r>
              <w:rPr>
                <w:rStyle w:val="Style20"/>
                <w:vanish w:val="false"/>
              </w:rPr>
              <w:tab/>
              <w:t>96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1">
            <w:r>
              <w:rPr>
                <w:webHidden/>
                <w:rStyle w:val="Style20"/>
              </w:rPr>
              <w:t>Подраздел 1.4.7 Рекомендации о месте размещения насосных станций, резервуаров, водонапорных башен</w:t>
            </w:r>
            <w:r>
              <w:rPr>
                <w:webHidden/>
              </w:rPr>
              <w:fldChar w:fldCharType="begin"/>
            </w:r>
            <w:r>
              <w:rPr>
                <w:webHidden/>
              </w:rPr>
              <w:instrText xml:space="preserve">PAGEREF _Toc158814591 \h</w:instrText>
            </w:r>
            <w:r>
              <w:rPr>
                <w:webHidden/>
              </w:rPr>
              <w:fldChar w:fldCharType="separate"/>
            </w:r>
            <w:r>
              <w:rPr>
                <w:rStyle w:val="Style20"/>
                <w:vanish w:val="false"/>
              </w:rPr>
              <w:tab/>
              <w:t>96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2">
            <w:r>
              <w:rPr>
                <w:webHidden/>
                <w:rStyle w:val="Style20"/>
              </w:rPr>
              <w:t>Подраздел 1.4.8 Границы планируемых зон размещения объектов централизованных систем горячего водоснабжения, холодного водоснабжения</w:t>
            </w:r>
            <w:r>
              <w:rPr>
                <w:webHidden/>
              </w:rPr>
              <w:fldChar w:fldCharType="begin"/>
            </w:r>
            <w:r>
              <w:rPr>
                <w:webHidden/>
              </w:rPr>
              <w:instrText xml:space="preserve">PAGEREF _Toc158814592 \h</w:instrText>
            </w:r>
            <w:r>
              <w:rPr>
                <w:webHidden/>
              </w:rPr>
              <w:fldChar w:fldCharType="separate"/>
            </w:r>
            <w:r>
              <w:rPr>
                <w:rStyle w:val="Style20"/>
                <w:vanish w:val="false"/>
              </w:rPr>
              <w:tab/>
              <w:t>97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3">
            <w:r>
              <w:rPr>
                <w:webHidden/>
                <w:rStyle w:val="Style20"/>
              </w:rPr>
              <w:t>Подраздел 1.4.9 Карты (схемы) существующего и планируемого размещения объектов централизованных систем горячего водоснабжения, холодного водоснабжения</w:t>
            </w:r>
            <w:r>
              <w:rPr>
                <w:webHidden/>
              </w:rPr>
              <w:fldChar w:fldCharType="begin"/>
            </w:r>
            <w:r>
              <w:rPr>
                <w:webHidden/>
              </w:rPr>
              <w:instrText xml:space="preserve">PAGEREF _Toc158814593 \h</w:instrText>
            </w:r>
            <w:r>
              <w:rPr>
                <w:webHidden/>
              </w:rPr>
              <w:fldChar w:fldCharType="separate"/>
            </w:r>
            <w:r>
              <w:rPr>
                <w:rStyle w:val="Style20"/>
                <w:vanish w:val="false"/>
              </w:rPr>
              <w:tab/>
              <w:t>97</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94">
            <w:r>
              <w:rPr>
                <w:webHidden/>
                <w:rStyle w:val="Style20"/>
              </w:rPr>
              <w:t>Раздел 1.5 Экологические аспекты мероприятий по строительству, реконструкции и модернизации объектов централизованных систем водоснабжения</w:t>
            </w:r>
            <w:r>
              <w:rPr>
                <w:webHidden/>
              </w:rPr>
              <w:fldChar w:fldCharType="begin"/>
            </w:r>
            <w:r>
              <w:rPr>
                <w:webHidden/>
              </w:rPr>
              <w:instrText xml:space="preserve">PAGEREF _Toc158814594 \h</w:instrText>
            </w:r>
            <w:r>
              <w:rPr>
                <w:webHidden/>
              </w:rPr>
              <w:fldChar w:fldCharType="separate"/>
            </w:r>
            <w:r>
              <w:rPr>
                <w:rStyle w:val="Style20"/>
                <w:vanish w:val="false"/>
              </w:rPr>
              <w:tab/>
              <w:t>98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5">
            <w:r>
              <w:rPr>
                <w:webHidden/>
                <w:rStyle w:val="Style20"/>
              </w:rPr>
              <w:t>Подраздел 1.5.1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Pr>
                <w:webHidden/>
              </w:rPr>
              <w:fldChar w:fldCharType="begin"/>
            </w:r>
            <w:r>
              <w:rPr>
                <w:webHidden/>
              </w:rPr>
              <w:instrText xml:space="preserve">PAGEREF _Toc158814595 \h</w:instrText>
            </w:r>
            <w:r>
              <w:rPr>
                <w:webHidden/>
              </w:rPr>
              <w:fldChar w:fldCharType="separate"/>
            </w:r>
            <w:r>
              <w:rPr>
                <w:rStyle w:val="Style20"/>
                <w:vanish w:val="false"/>
              </w:rPr>
              <w:tab/>
              <w:t>98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6">
            <w:r>
              <w:rPr>
                <w:webHidden/>
                <w:rStyle w:val="Style20"/>
              </w:rPr>
              <w:t>Подраздел 1.5.2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Pr>
                <w:webHidden/>
              </w:rPr>
              <w:fldChar w:fldCharType="begin"/>
            </w:r>
            <w:r>
              <w:rPr>
                <w:webHidden/>
              </w:rPr>
              <w:instrText xml:space="preserve">PAGEREF _Toc158814596 \h</w:instrText>
            </w:r>
            <w:r>
              <w:rPr>
                <w:webHidden/>
              </w:rPr>
              <w:fldChar w:fldCharType="separate"/>
            </w:r>
            <w:r>
              <w:rPr>
                <w:rStyle w:val="Style20"/>
                <w:vanish w:val="false"/>
              </w:rPr>
              <w:tab/>
              <w:t>98</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597">
            <w:r>
              <w:rPr>
                <w:webHidden/>
                <w:rStyle w:val="Style20"/>
              </w:rPr>
              <w:t>Раздел 1.6 Оценка объемов капитальных вложений в строительство, реконструкцию и модернизацию объектов централизованных систем водоснабжения</w:t>
            </w:r>
            <w:r>
              <w:rPr>
                <w:webHidden/>
              </w:rPr>
              <w:fldChar w:fldCharType="begin"/>
            </w:r>
            <w:r>
              <w:rPr>
                <w:webHidden/>
              </w:rPr>
              <w:instrText xml:space="preserve">PAGEREF _Toc158814597 \h</w:instrText>
            </w:r>
            <w:r>
              <w:rPr>
                <w:webHidden/>
              </w:rPr>
              <w:fldChar w:fldCharType="separate"/>
            </w:r>
            <w:r>
              <w:rPr>
                <w:rStyle w:val="Style20"/>
                <w:vanish w:val="false"/>
              </w:rPr>
              <w:tab/>
              <w:t>99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8">
            <w:r>
              <w:rPr>
                <w:webHidden/>
                <w:rStyle w:val="Style20"/>
              </w:rPr>
              <w:t>Подраздел 1.6.1 Оценка стоимости основных мероприятий по реализации схем водоснабжения</w:t>
            </w:r>
            <w:r>
              <w:rPr>
                <w:webHidden/>
              </w:rPr>
              <w:fldChar w:fldCharType="begin"/>
            </w:r>
            <w:r>
              <w:rPr>
                <w:webHidden/>
              </w:rPr>
              <w:instrText xml:space="preserve">PAGEREF _Toc158814598 \h</w:instrText>
            </w:r>
            <w:r>
              <w:rPr>
                <w:webHidden/>
              </w:rPr>
              <w:fldChar w:fldCharType="separate"/>
            </w:r>
            <w:r>
              <w:rPr>
                <w:rStyle w:val="Style20"/>
                <w:vanish w:val="false"/>
              </w:rPr>
              <w:tab/>
              <w:t>99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599">
            <w:r>
              <w:rPr>
                <w:webHidden/>
                <w:rStyle w:val="Style20"/>
              </w:rPr>
              <w:t>Подраздел 1.6.2 Оценка величины необходимых капитальных вложений в строительство и реконструкцию объектов централизованных систем водоснабжения, выполненная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r>
              <w:rPr>
                <w:webHidden/>
              </w:rPr>
              <w:fldChar w:fldCharType="begin"/>
            </w:r>
            <w:r>
              <w:rPr>
                <w:webHidden/>
              </w:rPr>
              <w:instrText xml:space="preserve">PAGEREF _Toc158814599 \h</w:instrText>
            </w:r>
            <w:r>
              <w:rPr>
                <w:webHidden/>
              </w:rPr>
              <w:fldChar w:fldCharType="separate"/>
            </w:r>
            <w:r>
              <w:rPr>
                <w:rStyle w:val="Style20"/>
                <w:vanish w:val="false"/>
              </w:rPr>
              <w:tab/>
              <w:t>100</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00">
            <w:r>
              <w:rPr>
                <w:webHidden/>
                <w:rStyle w:val="Style20"/>
              </w:rPr>
              <w:t>Раздел 1.7 Плановые значения показателей развития централизованных систем водоснабжения</w:t>
            </w:r>
            <w:r>
              <w:rPr>
                <w:webHidden/>
              </w:rPr>
              <w:fldChar w:fldCharType="begin"/>
            </w:r>
            <w:r>
              <w:rPr>
                <w:webHidden/>
              </w:rPr>
              <w:instrText xml:space="preserve">PAGEREF _Toc158814600 \h</w:instrText>
            </w:r>
            <w:r>
              <w:rPr>
                <w:webHidden/>
              </w:rPr>
              <w:fldChar w:fldCharType="separate"/>
            </w:r>
            <w:r>
              <w:rPr>
                <w:rStyle w:val="Style20"/>
                <w:vanish w:val="false"/>
              </w:rPr>
              <w:tab/>
              <w:t>106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1">
            <w:r>
              <w:rPr>
                <w:webHidden/>
                <w:rStyle w:val="Style20"/>
              </w:rPr>
              <w:t>Подраздел 1.7.1 Показатели качества воды</w:t>
            </w:r>
            <w:r>
              <w:rPr>
                <w:webHidden/>
              </w:rPr>
              <w:fldChar w:fldCharType="begin"/>
            </w:r>
            <w:r>
              <w:rPr>
                <w:webHidden/>
              </w:rPr>
              <w:instrText xml:space="preserve">PAGEREF _Toc158814601 \h</w:instrText>
            </w:r>
            <w:r>
              <w:rPr>
                <w:webHidden/>
              </w:rPr>
              <w:fldChar w:fldCharType="separate"/>
            </w:r>
            <w:r>
              <w:rPr>
                <w:rStyle w:val="Style20"/>
                <w:vanish w:val="false"/>
              </w:rPr>
              <w:tab/>
              <w:t>110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2">
            <w:r>
              <w:rPr>
                <w:webHidden/>
                <w:rStyle w:val="Style20"/>
              </w:rPr>
              <w:t>Подраздел 1.7.2 Показатели надежности и бесперебойности водоснабжения</w:t>
            </w:r>
            <w:r>
              <w:rPr>
                <w:webHidden/>
              </w:rPr>
              <w:fldChar w:fldCharType="begin"/>
            </w:r>
            <w:r>
              <w:rPr>
                <w:webHidden/>
              </w:rPr>
              <w:instrText xml:space="preserve">PAGEREF _Toc158814602 \h</w:instrText>
            </w:r>
            <w:r>
              <w:rPr>
                <w:webHidden/>
              </w:rPr>
              <w:fldChar w:fldCharType="separate"/>
            </w:r>
            <w:r>
              <w:rPr>
                <w:rStyle w:val="Style20"/>
                <w:vanish w:val="false"/>
              </w:rPr>
              <w:tab/>
              <w:t>110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3">
            <w:r>
              <w:rPr>
                <w:webHidden/>
                <w:rStyle w:val="Style20"/>
              </w:rPr>
              <w:t>Подраздел 1.7.3 Показатели эффективности использования ресурсов, в том числе уровень потерь воды (тепловой энергии в составе горячей воды)</w:t>
            </w:r>
            <w:r>
              <w:rPr>
                <w:webHidden/>
              </w:rPr>
              <w:fldChar w:fldCharType="begin"/>
            </w:r>
            <w:r>
              <w:rPr>
                <w:webHidden/>
              </w:rPr>
              <w:instrText xml:space="preserve">PAGEREF _Toc158814603 \h</w:instrText>
            </w:r>
            <w:r>
              <w:rPr>
                <w:webHidden/>
              </w:rPr>
              <w:fldChar w:fldCharType="separate"/>
            </w:r>
            <w:r>
              <w:rPr>
                <w:rStyle w:val="Style20"/>
                <w:vanish w:val="false"/>
              </w:rPr>
              <w:tab/>
              <w:t>110</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4">
            <w:r>
              <w:rPr>
                <w:webHidden/>
                <w:rStyle w:val="Style20"/>
              </w:rPr>
              <w:t>Подраздел 1.7.4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Pr>
                <w:webHidden/>
              </w:rPr>
              <w:fldChar w:fldCharType="begin"/>
            </w:r>
            <w:r>
              <w:rPr>
                <w:webHidden/>
              </w:rPr>
              <w:instrText xml:space="preserve">PAGEREF _Toc158814604 \h</w:instrText>
            </w:r>
            <w:r>
              <w:rPr>
                <w:webHidden/>
              </w:rPr>
              <w:fldChar w:fldCharType="separate"/>
            </w:r>
            <w:r>
              <w:rPr>
                <w:rStyle w:val="Style20"/>
                <w:vanish w:val="false"/>
              </w:rPr>
              <w:tab/>
              <w:t>110</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05">
            <w:r>
              <w:rPr>
                <w:webHidden/>
                <w:rStyle w:val="Style20"/>
              </w:rPr>
              <w:t>Раздел 1.8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Pr>
                <w:webHidden/>
              </w:rPr>
              <w:fldChar w:fldCharType="begin"/>
            </w:r>
            <w:r>
              <w:rPr>
                <w:webHidden/>
              </w:rPr>
              <w:instrText xml:space="preserve">PAGEREF _Toc158814605 \h</w:instrText>
            </w:r>
            <w:r>
              <w:rPr>
                <w:webHidden/>
              </w:rPr>
              <w:fldChar w:fldCharType="separate"/>
            </w:r>
            <w:r>
              <w:rPr>
                <w:rStyle w:val="Style20"/>
                <w:vanish w:val="false"/>
              </w:rPr>
              <w:tab/>
              <w:t>111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6">
            <w:r>
              <w:rPr>
                <w:webHidden/>
                <w:rStyle w:val="Style20"/>
              </w:rPr>
              <w:t>Подраздел 1.8.1 Перечень выявленных бесхозяйных объектов централизованных систем водоснабжения и перечень организаций, уполномоченных на их эксплуатацию</w:t>
            </w:r>
            <w:r>
              <w:rPr>
                <w:webHidden/>
              </w:rPr>
              <w:fldChar w:fldCharType="begin"/>
            </w:r>
            <w:r>
              <w:rPr>
                <w:webHidden/>
              </w:rPr>
              <w:instrText xml:space="preserve">PAGEREF _Toc158814606 \h</w:instrText>
            </w:r>
            <w:r>
              <w:rPr>
                <w:webHidden/>
              </w:rPr>
              <w:fldChar w:fldCharType="separate"/>
            </w:r>
            <w:r>
              <w:rPr>
                <w:rStyle w:val="Style20"/>
                <w:vanish w:val="false"/>
              </w:rPr>
              <w:tab/>
              <w:t>111</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07">
            <w:r>
              <w:rPr>
                <w:webHidden/>
                <w:rStyle w:val="Style20"/>
              </w:rPr>
              <w:t>Часть 2 «Схема водоотведения»</w:t>
            </w:r>
            <w:r>
              <w:rPr>
                <w:webHidden/>
              </w:rPr>
              <w:fldChar w:fldCharType="begin"/>
            </w:r>
            <w:r>
              <w:rPr>
                <w:webHidden/>
              </w:rPr>
              <w:instrText xml:space="preserve">PAGEREF _Toc158814607 \h</w:instrText>
            </w:r>
            <w:r>
              <w:rPr>
                <w:webHidden/>
              </w:rPr>
              <w:fldChar w:fldCharType="separate"/>
            </w:r>
            <w:r>
              <w:rPr>
                <w:rStyle w:val="Style20"/>
                <w:vanish w:val="false"/>
              </w:rPr>
              <w:tab/>
              <w:t>112</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08">
            <w:r>
              <w:rPr>
                <w:webHidden/>
                <w:rStyle w:val="Style20"/>
              </w:rPr>
              <w:t>Раздел 2.1 Существующее положение в сфере водоотведения поселения, городского округа</w:t>
            </w:r>
            <w:r>
              <w:rPr>
                <w:webHidden/>
              </w:rPr>
              <w:fldChar w:fldCharType="begin"/>
            </w:r>
            <w:r>
              <w:rPr>
                <w:webHidden/>
              </w:rPr>
              <w:instrText xml:space="preserve">PAGEREF _Toc158814608 \h</w:instrText>
            </w:r>
            <w:r>
              <w:rPr>
                <w:webHidden/>
              </w:rPr>
              <w:fldChar w:fldCharType="separate"/>
            </w:r>
            <w:r>
              <w:rPr>
                <w:rStyle w:val="Style20"/>
                <w:vanish w:val="false"/>
              </w:rPr>
              <w:tab/>
              <w:t>112</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09">
            <w:r>
              <w:rPr>
                <w:webHidden/>
                <w:rStyle w:val="Style20"/>
              </w:rPr>
              <w:t>Подраздел 2.1.1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r>
              <w:rPr>
                <w:webHidden/>
              </w:rPr>
              <w:fldChar w:fldCharType="begin"/>
            </w:r>
            <w:r>
              <w:rPr>
                <w:webHidden/>
              </w:rPr>
              <w:instrText xml:space="preserve">PAGEREF _Toc158814609 \h</w:instrText>
            </w:r>
            <w:r>
              <w:rPr>
                <w:webHidden/>
              </w:rPr>
              <w:fldChar w:fldCharType="separate"/>
            </w:r>
            <w:r>
              <w:rPr>
                <w:rStyle w:val="Style20"/>
                <w:vanish w:val="false"/>
              </w:rPr>
              <w:tab/>
              <w:t>112</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0">
            <w:r>
              <w:rPr>
                <w:webHidden/>
                <w:rStyle w:val="Style20"/>
              </w:rPr>
              <w:t>Подраздел 2.1.2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Pr>
                <w:webHidden/>
              </w:rPr>
              <w:fldChar w:fldCharType="begin"/>
            </w:r>
            <w:r>
              <w:rPr>
                <w:webHidden/>
              </w:rPr>
              <w:instrText xml:space="preserve">PAGEREF _Toc158814610 \h</w:instrText>
            </w:r>
            <w:r>
              <w:rPr>
                <w:webHidden/>
              </w:rPr>
              <w:fldChar w:fldCharType="separate"/>
            </w:r>
            <w:r>
              <w:rPr>
                <w:rStyle w:val="Style20"/>
                <w:vanish w:val="false"/>
              </w:rPr>
              <w:tab/>
              <w:t>117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1">
            <w:r>
              <w:rPr>
                <w:webHidden/>
                <w:rStyle w:val="Style20"/>
              </w:rPr>
              <w:t>Подраздел 2.1.3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Pr>
                <w:webHidden/>
              </w:rPr>
              <w:fldChar w:fldCharType="begin"/>
            </w:r>
            <w:r>
              <w:rPr>
                <w:webHidden/>
              </w:rPr>
              <w:instrText xml:space="preserve">PAGEREF _Toc158814611 \h</w:instrText>
            </w:r>
            <w:r>
              <w:rPr>
                <w:webHidden/>
              </w:rPr>
              <w:fldChar w:fldCharType="separate"/>
            </w:r>
            <w:r>
              <w:rPr>
                <w:rStyle w:val="Style20"/>
                <w:vanish w:val="false"/>
              </w:rPr>
              <w:tab/>
              <w:t>137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2">
            <w:r>
              <w:rPr>
                <w:webHidden/>
                <w:rStyle w:val="Style20"/>
              </w:rPr>
              <w:t>Подраздел 2.1.4 Описание технической возможности утилизации осадков сточных вод на очистных сооружениях существующей централизованной системы водоотведения</w:t>
            </w:r>
            <w:r>
              <w:rPr>
                <w:webHidden/>
              </w:rPr>
              <w:fldChar w:fldCharType="begin"/>
            </w:r>
            <w:r>
              <w:rPr>
                <w:webHidden/>
              </w:rPr>
              <w:instrText xml:space="preserve">PAGEREF _Toc158814612 \h</w:instrText>
            </w:r>
            <w:r>
              <w:rPr>
                <w:webHidden/>
              </w:rPr>
              <w:fldChar w:fldCharType="separate"/>
            </w:r>
            <w:r>
              <w:rPr>
                <w:rStyle w:val="Style20"/>
                <w:vanish w:val="false"/>
              </w:rPr>
              <w:tab/>
              <w:t>143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3">
            <w:r>
              <w:rPr>
                <w:webHidden/>
                <w:rStyle w:val="Style20"/>
              </w:rPr>
              <w:t>Подраздел 2.1.5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Pr>
                <w:webHidden/>
              </w:rPr>
              <w:fldChar w:fldCharType="begin"/>
            </w:r>
            <w:r>
              <w:rPr>
                <w:webHidden/>
              </w:rPr>
              <w:instrText xml:space="preserve">PAGEREF _Toc158814613 \h</w:instrText>
            </w:r>
            <w:r>
              <w:rPr>
                <w:webHidden/>
              </w:rPr>
              <w:fldChar w:fldCharType="separate"/>
            </w:r>
            <w:r>
              <w:rPr>
                <w:rStyle w:val="Style20"/>
                <w:vanish w:val="false"/>
              </w:rPr>
              <w:tab/>
              <w:t>144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4">
            <w:r>
              <w:rPr>
                <w:webHidden/>
                <w:rStyle w:val="Style20"/>
              </w:rPr>
              <w:t>Подраздел 2.1.6 Оценка безопасности и надежности объектов централизованной системы водоотведения и их управляемости</w:t>
            </w:r>
            <w:r>
              <w:rPr>
                <w:webHidden/>
              </w:rPr>
              <w:fldChar w:fldCharType="begin"/>
            </w:r>
            <w:r>
              <w:rPr>
                <w:webHidden/>
              </w:rPr>
              <w:instrText xml:space="preserve">PAGEREF _Toc158814614 \h</w:instrText>
            </w:r>
            <w:r>
              <w:rPr>
                <w:webHidden/>
              </w:rPr>
              <w:fldChar w:fldCharType="separate"/>
            </w:r>
            <w:r>
              <w:rPr>
                <w:rStyle w:val="Style20"/>
                <w:vanish w:val="false"/>
              </w:rPr>
              <w:tab/>
              <w:t>148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5">
            <w:r>
              <w:rPr>
                <w:webHidden/>
                <w:rStyle w:val="Style20"/>
              </w:rPr>
              <w:t>Подраздел 2.1.7 Оценка воздействия сбросов сточных вод через централизованную систему водоотведения на окружающую среду</w:t>
            </w:r>
            <w:r>
              <w:rPr>
                <w:webHidden/>
              </w:rPr>
              <w:fldChar w:fldCharType="begin"/>
            </w:r>
            <w:r>
              <w:rPr>
                <w:webHidden/>
              </w:rPr>
              <w:instrText xml:space="preserve">PAGEREF _Toc158814615 \h</w:instrText>
            </w:r>
            <w:r>
              <w:rPr>
                <w:webHidden/>
              </w:rPr>
              <w:fldChar w:fldCharType="separate"/>
            </w:r>
            <w:r>
              <w:rPr>
                <w:rStyle w:val="Style20"/>
                <w:vanish w:val="false"/>
              </w:rPr>
              <w:tab/>
              <w:t>148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6">
            <w:r>
              <w:rPr>
                <w:webHidden/>
                <w:rStyle w:val="Style20"/>
              </w:rPr>
              <w:t>Подраздел 2.1.8 Описание территорий муниципального образования, не охваченных централизованной системой водоотведения</w:t>
            </w:r>
            <w:r>
              <w:rPr>
                <w:webHidden/>
              </w:rPr>
              <w:fldChar w:fldCharType="begin"/>
            </w:r>
            <w:r>
              <w:rPr>
                <w:webHidden/>
              </w:rPr>
              <w:instrText xml:space="preserve">PAGEREF _Toc158814616 \h</w:instrText>
            </w:r>
            <w:r>
              <w:rPr>
                <w:webHidden/>
              </w:rPr>
              <w:fldChar w:fldCharType="separate"/>
            </w:r>
            <w:r>
              <w:rPr>
                <w:rStyle w:val="Style20"/>
                <w:vanish w:val="false"/>
              </w:rPr>
              <w:tab/>
              <w:t>148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7">
            <w:r>
              <w:rPr>
                <w:webHidden/>
                <w:rStyle w:val="Style20"/>
              </w:rPr>
              <w:t>Подраздел 2.1.9 Описание существующих технических и технологических проблем системы водоотведения поселения, городского округа</w:t>
            </w:r>
            <w:r>
              <w:rPr>
                <w:webHidden/>
              </w:rPr>
              <w:fldChar w:fldCharType="begin"/>
            </w:r>
            <w:r>
              <w:rPr>
                <w:webHidden/>
              </w:rPr>
              <w:instrText xml:space="preserve">PAGEREF _Toc158814617 \h</w:instrText>
            </w:r>
            <w:r>
              <w:rPr>
                <w:webHidden/>
              </w:rPr>
              <w:fldChar w:fldCharType="separate"/>
            </w:r>
            <w:r>
              <w:rPr>
                <w:rStyle w:val="Style20"/>
                <w:vanish w:val="false"/>
              </w:rPr>
              <w:tab/>
              <w:t>149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18">
            <w:r>
              <w:rPr>
                <w:webHidden/>
                <w:rStyle w:val="Style20"/>
              </w:rPr>
              <w:t>Подраздел 2.1.10 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Pr>
                <w:webHidden/>
              </w:rPr>
              <w:fldChar w:fldCharType="begin"/>
            </w:r>
            <w:r>
              <w:rPr>
                <w:webHidden/>
              </w:rPr>
              <w:instrText xml:space="preserve">PAGEREF _Toc158814618 \h</w:instrText>
            </w:r>
            <w:r>
              <w:rPr>
                <w:webHidden/>
              </w:rPr>
              <w:fldChar w:fldCharType="separate"/>
            </w:r>
            <w:r>
              <w:rPr>
                <w:rStyle w:val="Style20"/>
                <w:vanish w:val="false"/>
              </w:rPr>
              <w:tab/>
              <w:t>149</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19">
            <w:r>
              <w:rPr>
                <w:webHidden/>
                <w:rStyle w:val="Style20"/>
              </w:rPr>
              <w:t>Раздел 2.2 Балансы сточных вод в системе водоотведения</w:t>
            </w:r>
            <w:r>
              <w:rPr>
                <w:webHidden/>
              </w:rPr>
              <w:fldChar w:fldCharType="begin"/>
            </w:r>
            <w:r>
              <w:rPr>
                <w:webHidden/>
              </w:rPr>
              <w:instrText xml:space="preserve">PAGEREF _Toc158814619 \h</w:instrText>
            </w:r>
            <w:r>
              <w:rPr>
                <w:webHidden/>
              </w:rPr>
              <w:fldChar w:fldCharType="separate"/>
            </w:r>
            <w:r>
              <w:rPr>
                <w:rStyle w:val="Style20"/>
                <w:vanish w:val="false"/>
              </w:rPr>
              <w:tab/>
              <w:t>151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0">
            <w:r>
              <w:rPr>
                <w:webHidden/>
                <w:rStyle w:val="Style20"/>
              </w:rPr>
              <w:t>Подраздел 2.2.1 Баланс поступления сточных вод в централизованную систему водоотведения и отведения стоков по технологическим зонам водоотведения</w:t>
            </w:r>
            <w:r>
              <w:rPr>
                <w:webHidden/>
              </w:rPr>
              <w:fldChar w:fldCharType="begin"/>
            </w:r>
            <w:r>
              <w:rPr>
                <w:webHidden/>
              </w:rPr>
              <w:instrText xml:space="preserve">PAGEREF _Toc158814620 \h</w:instrText>
            </w:r>
            <w:r>
              <w:rPr>
                <w:webHidden/>
              </w:rPr>
              <w:fldChar w:fldCharType="separate"/>
            </w:r>
            <w:r>
              <w:rPr>
                <w:rStyle w:val="Style20"/>
                <w:vanish w:val="false"/>
              </w:rPr>
              <w:tab/>
              <w:t>151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1">
            <w:r>
              <w:rPr>
                <w:webHidden/>
                <w:rStyle w:val="Style20"/>
              </w:rPr>
              <w:t>Подраздел 2.2.2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Pr>
                <w:webHidden/>
              </w:rPr>
              <w:fldChar w:fldCharType="begin"/>
            </w:r>
            <w:r>
              <w:rPr>
                <w:webHidden/>
              </w:rPr>
              <w:instrText xml:space="preserve">PAGEREF _Toc158814621 \h</w:instrText>
            </w:r>
            <w:r>
              <w:rPr>
                <w:webHidden/>
              </w:rPr>
              <w:fldChar w:fldCharType="separate"/>
            </w:r>
            <w:r>
              <w:rPr>
                <w:rStyle w:val="Style20"/>
                <w:vanish w:val="false"/>
              </w:rPr>
              <w:tab/>
              <w:t>153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2">
            <w:r>
              <w:rPr>
                <w:webHidden/>
                <w:rStyle w:val="Style20"/>
              </w:rPr>
              <w:t>Подраздел 2.2.3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Pr>
                <w:webHidden/>
              </w:rPr>
              <w:fldChar w:fldCharType="begin"/>
            </w:r>
            <w:r>
              <w:rPr>
                <w:webHidden/>
              </w:rPr>
              <w:instrText xml:space="preserve">PAGEREF _Toc158814622 \h</w:instrText>
            </w:r>
            <w:r>
              <w:rPr>
                <w:webHidden/>
              </w:rPr>
              <w:fldChar w:fldCharType="separate"/>
            </w:r>
            <w:r>
              <w:rPr>
                <w:rStyle w:val="Style20"/>
                <w:vanish w:val="false"/>
              </w:rPr>
              <w:tab/>
              <w:t>153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3">
            <w:r>
              <w:rPr>
                <w:webHidden/>
                <w:rStyle w:val="Style20"/>
              </w:rPr>
              <w:t>Подраздел 2.2.4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Pr>
                <w:webHidden/>
              </w:rPr>
              <w:fldChar w:fldCharType="begin"/>
            </w:r>
            <w:r>
              <w:rPr>
                <w:webHidden/>
              </w:rPr>
              <w:instrText xml:space="preserve">PAGEREF _Toc158814623 \h</w:instrText>
            </w:r>
            <w:r>
              <w:rPr>
                <w:webHidden/>
              </w:rPr>
              <w:fldChar w:fldCharType="separate"/>
            </w:r>
            <w:r>
              <w:rPr>
                <w:rStyle w:val="Style20"/>
                <w:vanish w:val="false"/>
              </w:rPr>
              <w:tab/>
              <w:t>153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4">
            <w:r>
              <w:rPr>
                <w:webHidden/>
                <w:rStyle w:val="Style20"/>
              </w:rPr>
              <w:t>Подраздел 2.2.5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Pr>
                <w:webHidden/>
              </w:rPr>
              <w:fldChar w:fldCharType="begin"/>
            </w:r>
            <w:r>
              <w:rPr>
                <w:webHidden/>
              </w:rPr>
              <w:instrText xml:space="preserve">PAGEREF _Toc158814624 \h</w:instrText>
            </w:r>
            <w:r>
              <w:rPr>
                <w:webHidden/>
              </w:rPr>
              <w:fldChar w:fldCharType="separate"/>
            </w:r>
            <w:r>
              <w:rPr>
                <w:rStyle w:val="Style20"/>
                <w:vanish w:val="false"/>
              </w:rPr>
              <w:tab/>
              <w:t>153</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25">
            <w:r>
              <w:rPr>
                <w:webHidden/>
                <w:rStyle w:val="Style20"/>
              </w:rPr>
              <w:t>Раздел 2.3 Прогноз объема сточных вод</w:t>
            </w:r>
            <w:r>
              <w:rPr>
                <w:webHidden/>
              </w:rPr>
              <w:fldChar w:fldCharType="begin"/>
            </w:r>
            <w:r>
              <w:rPr>
                <w:webHidden/>
              </w:rPr>
              <w:instrText xml:space="preserve">PAGEREF _Toc158814625 \h</w:instrText>
            </w:r>
            <w:r>
              <w:rPr>
                <w:webHidden/>
              </w:rPr>
              <w:fldChar w:fldCharType="separate"/>
            </w:r>
            <w:r>
              <w:rPr>
                <w:rStyle w:val="Style20"/>
                <w:vanish w:val="false"/>
              </w:rPr>
              <w:tab/>
              <w:t>154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6">
            <w:r>
              <w:rPr>
                <w:webHidden/>
                <w:rStyle w:val="Style20"/>
              </w:rPr>
              <w:t>Подраздел 2.3.1 Сведения о фактическом и ожидаемом поступлении сточных вод в централизованную систему водоотведения</w:t>
            </w:r>
            <w:r>
              <w:rPr>
                <w:webHidden/>
              </w:rPr>
              <w:fldChar w:fldCharType="begin"/>
            </w:r>
            <w:r>
              <w:rPr>
                <w:webHidden/>
              </w:rPr>
              <w:instrText xml:space="preserve">PAGEREF _Toc158814626 \h</w:instrText>
            </w:r>
            <w:r>
              <w:rPr>
                <w:webHidden/>
              </w:rPr>
              <w:fldChar w:fldCharType="separate"/>
            </w:r>
            <w:r>
              <w:rPr>
                <w:rStyle w:val="Style20"/>
                <w:vanish w:val="false"/>
              </w:rPr>
              <w:tab/>
              <w:t>154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7">
            <w:r>
              <w:rPr>
                <w:webHidden/>
                <w:rStyle w:val="Style20"/>
              </w:rPr>
              <w:t>Подраздел 2.3.2 Описание структуры централизованной системы водоотведения (эксплуатационные и технологические зоны)</w:t>
            </w:r>
            <w:r>
              <w:rPr>
                <w:webHidden/>
              </w:rPr>
              <w:fldChar w:fldCharType="begin"/>
            </w:r>
            <w:r>
              <w:rPr>
                <w:webHidden/>
              </w:rPr>
              <w:instrText xml:space="preserve">PAGEREF _Toc158814627 \h</w:instrText>
            </w:r>
            <w:r>
              <w:rPr>
                <w:webHidden/>
              </w:rPr>
              <w:fldChar w:fldCharType="separate"/>
            </w:r>
            <w:r>
              <w:rPr>
                <w:rStyle w:val="Style20"/>
                <w:vanish w:val="false"/>
              </w:rPr>
              <w:tab/>
              <w:t>157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8">
            <w:r>
              <w:rPr>
                <w:webHidden/>
                <w:rStyle w:val="Style20"/>
              </w:rPr>
              <w:t>Подраздел 2.3.3 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r>
              <w:rPr>
                <w:webHidden/>
              </w:rPr>
              <w:fldChar w:fldCharType="begin"/>
            </w:r>
            <w:r>
              <w:rPr>
                <w:webHidden/>
              </w:rPr>
              <w:instrText xml:space="preserve">PAGEREF _Toc158814628 \h</w:instrText>
            </w:r>
            <w:r>
              <w:rPr>
                <w:webHidden/>
              </w:rPr>
              <w:fldChar w:fldCharType="separate"/>
            </w:r>
            <w:r>
              <w:rPr>
                <w:rStyle w:val="Style20"/>
                <w:vanish w:val="false"/>
              </w:rPr>
              <w:tab/>
              <w:t>157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29">
            <w:r>
              <w:rPr>
                <w:webHidden/>
                <w:rStyle w:val="Style20"/>
              </w:rPr>
              <w:t>Подраздел 2.3.4 Результаты анализа гидравлических режимов и режимов работы элементов централизованной системы водоотведения</w:t>
            </w:r>
            <w:r>
              <w:rPr>
                <w:webHidden/>
              </w:rPr>
              <w:fldChar w:fldCharType="begin"/>
            </w:r>
            <w:r>
              <w:rPr>
                <w:webHidden/>
              </w:rPr>
              <w:instrText xml:space="preserve">PAGEREF _Toc158814629 \h</w:instrText>
            </w:r>
            <w:r>
              <w:rPr>
                <w:webHidden/>
              </w:rPr>
              <w:fldChar w:fldCharType="separate"/>
            </w:r>
            <w:r>
              <w:rPr>
                <w:rStyle w:val="Style20"/>
                <w:vanish w:val="false"/>
              </w:rPr>
              <w:tab/>
              <w:t>157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0">
            <w:r>
              <w:rPr>
                <w:webHidden/>
                <w:rStyle w:val="Style20"/>
              </w:rPr>
              <w:t>Подраздел 2.3.5 Анализ резервов производственных мощностей очистных сооружений системы водоотведения и возможности расширения зоны их действия</w:t>
            </w:r>
            <w:r>
              <w:rPr>
                <w:webHidden/>
              </w:rPr>
              <w:fldChar w:fldCharType="begin"/>
            </w:r>
            <w:r>
              <w:rPr>
                <w:webHidden/>
              </w:rPr>
              <w:instrText xml:space="preserve">PAGEREF _Toc158814630 \h</w:instrText>
            </w:r>
            <w:r>
              <w:rPr>
                <w:webHidden/>
              </w:rPr>
              <w:fldChar w:fldCharType="separate"/>
            </w:r>
            <w:r>
              <w:rPr>
                <w:rStyle w:val="Style20"/>
                <w:vanish w:val="false"/>
              </w:rPr>
              <w:tab/>
              <w:t>157</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31">
            <w:r>
              <w:rPr>
                <w:webHidden/>
                <w:rStyle w:val="Style20"/>
              </w:rPr>
              <w:t>Раздел 2.4 Предложения по строительству, реконструкции и модернизации (техническому перевооружению) объектов централизованной системы водоотведения</w:t>
            </w:r>
            <w:r>
              <w:rPr>
                <w:webHidden/>
              </w:rPr>
              <w:fldChar w:fldCharType="begin"/>
            </w:r>
            <w:r>
              <w:rPr>
                <w:webHidden/>
              </w:rPr>
              <w:instrText xml:space="preserve">PAGEREF _Toc158814631 \h</w:instrText>
            </w:r>
            <w:r>
              <w:rPr>
                <w:webHidden/>
              </w:rPr>
              <w:fldChar w:fldCharType="separate"/>
            </w:r>
            <w:r>
              <w:rPr>
                <w:rStyle w:val="Style20"/>
                <w:vanish w:val="false"/>
              </w:rPr>
              <w:tab/>
              <w:t>158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2">
            <w:r>
              <w:rPr>
                <w:webHidden/>
                <w:rStyle w:val="Style20"/>
              </w:rPr>
              <w:t>Подраздел 2.4.1 Основные направления, принципы, задачи и плановые значения показателей развития централизованной системы водоотведения</w:t>
            </w:r>
            <w:r>
              <w:rPr>
                <w:webHidden/>
              </w:rPr>
              <w:fldChar w:fldCharType="begin"/>
            </w:r>
            <w:r>
              <w:rPr>
                <w:webHidden/>
              </w:rPr>
              <w:instrText xml:space="preserve">PAGEREF _Toc158814632 \h</w:instrText>
            </w:r>
            <w:r>
              <w:rPr>
                <w:webHidden/>
              </w:rPr>
              <w:fldChar w:fldCharType="separate"/>
            </w:r>
            <w:r>
              <w:rPr>
                <w:rStyle w:val="Style20"/>
                <w:vanish w:val="false"/>
              </w:rPr>
              <w:tab/>
              <w:t>158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3">
            <w:r>
              <w:rPr>
                <w:webHidden/>
                <w:rStyle w:val="Style20"/>
              </w:rPr>
              <w:t>Подраздел 2.4.2 Перечень основных мероприятий по реализации схем водоотведения с разбивкой по годам, включая технические обоснования этих мероприятий</w:t>
            </w:r>
            <w:r>
              <w:rPr>
                <w:webHidden/>
              </w:rPr>
              <w:fldChar w:fldCharType="begin"/>
            </w:r>
            <w:r>
              <w:rPr>
                <w:webHidden/>
              </w:rPr>
              <w:instrText xml:space="preserve">PAGEREF _Toc158814633 \h</w:instrText>
            </w:r>
            <w:r>
              <w:rPr>
                <w:webHidden/>
              </w:rPr>
              <w:fldChar w:fldCharType="separate"/>
            </w:r>
            <w:r>
              <w:rPr>
                <w:rStyle w:val="Style20"/>
                <w:vanish w:val="false"/>
              </w:rPr>
              <w:tab/>
              <w:t>159</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4">
            <w:r>
              <w:rPr>
                <w:webHidden/>
                <w:rStyle w:val="Style20"/>
              </w:rPr>
              <w:t>Подраздел 2.4.3 Технические обоснования основных мероприятий по реализации схем водоотведения</w:t>
            </w:r>
            <w:r>
              <w:rPr>
                <w:webHidden/>
              </w:rPr>
              <w:fldChar w:fldCharType="begin"/>
            </w:r>
            <w:r>
              <w:rPr>
                <w:webHidden/>
              </w:rPr>
              <w:instrText xml:space="preserve">PAGEREF _Toc158814634 \h</w:instrText>
            </w:r>
            <w:r>
              <w:rPr>
                <w:webHidden/>
              </w:rPr>
              <w:fldChar w:fldCharType="separate"/>
            </w:r>
            <w:r>
              <w:rPr>
                <w:rStyle w:val="Style20"/>
                <w:vanish w:val="false"/>
              </w:rPr>
              <w:tab/>
              <w:t>161</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5">
            <w:r>
              <w:rPr>
                <w:webHidden/>
                <w:rStyle w:val="Style20"/>
              </w:rPr>
              <w:t>Подраздел 2.4.4 Сведения о вновь строящихся, реконструируемых и предлагаемых к выводу из эксплуатации объектах централизованной системы водоотведения</w:t>
            </w:r>
            <w:r>
              <w:rPr>
                <w:webHidden/>
              </w:rPr>
              <w:fldChar w:fldCharType="begin"/>
            </w:r>
            <w:r>
              <w:rPr>
                <w:webHidden/>
              </w:rPr>
              <w:instrText xml:space="preserve">PAGEREF _Toc158814635 \h</w:instrText>
            </w:r>
            <w:r>
              <w:rPr>
                <w:webHidden/>
              </w:rPr>
              <w:fldChar w:fldCharType="separate"/>
            </w:r>
            <w:r>
              <w:rPr>
                <w:rStyle w:val="Style20"/>
                <w:vanish w:val="false"/>
              </w:rPr>
              <w:tab/>
              <w:t>163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6">
            <w:r>
              <w:rPr>
                <w:webHidden/>
                <w:rStyle w:val="Style20"/>
              </w:rPr>
              <w:t>Подраздел 2.4.5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Pr>
                <w:webHidden/>
              </w:rPr>
              <w:fldChar w:fldCharType="begin"/>
            </w:r>
            <w:r>
              <w:rPr>
                <w:webHidden/>
              </w:rPr>
              <w:instrText xml:space="preserve">PAGEREF _Toc158814636 \h</w:instrText>
            </w:r>
            <w:r>
              <w:rPr>
                <w:webHidden/>
              </w:rPr>
              <w:fldChar w:fldCharType="separate"/>
            </w:r>
            <w:r>
              <w:rPr>
                <w:rStyle w:val="Style20"/>
                <w:vanish w:val="false"/>
              </w:rPr>
              <w:tab/>
              <w:t>164</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7">
            <w:r>
              <w:rPr>
                <w:webHidden/>
                <w:rStyle w:val="Style20"/>
              </w:rPr>
              <w:t>Подраздел 2.4.6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r>
              <w:rPr>
                <w:webHidden/>
              </w:rPr>
              <w:fldChar w:fldCharType="begin"/>
            </w:r>
            <w:r>
              <w:rPr>
                <w:webHidden/>
              </w:rPr>
              <w:instrText xml:space="preserve">PAGEREF _Toc158814637 \h</w:instrText>
            </w:r>
            <w:r>
              <w:rPr>
                <w:webHidden/>
              </w:rPr>
              <w:fldChar w:fldCharType="separate"/>
            </w:r>
            <w:r>
              <w:rPr>
                <w:rStyle w:val="Style20"/>
                <w:vanish w:val="false"/>
              </w:rPr>
              <w:tab/>
              <w:t>165</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8">
            <w:r>
              <w:rPr>
                <w:webHidden/>
                <w:rStyle w:val="Style20"/>
              </w:rPr>
              <w:t>Подраздел 2.4.7 Границы и характеристики охранных зон сетей и сооружений централизованной системы водоотведения</w:t>
            </w:r>
            <w:r>
              <w:rPr>
                <w:webHidden/>
              </w:rPr>
              <w:fldChar w:fldCharType="begin"/>
            </w:r>
            <w:r>
              <w:rPr>
                <w:webHidden/>
              </w:rPr>
              <w:instrText xml:space="preserve">PAGEREF _Toc158814638 \h</w:instrText>
            </w:r>
            <w:r>
              <w:rPr>
                <w:webHidden/>
              </w:rPr>
              <w:fldChar w:fldCharType="separate"/>
            </w:r>
            <w:r>
              <w:rPr>
                <w:rStyle w:val="Style20"/>
                <w:vanish w:val="false"/>
              </w:rPr>
              <w:tab/>
              <w:t>166</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39">
            <w:r>
              <w:rPr>
                <w:webHidden/>
                <w:rStyle w:val="Style20"/>
              </w:rPr>
              <w:t>Подраздел 2.4.8 Границы планируемых зон размещения объектов централизованной системы водоотведения</w:t>
            </w:r>
            <w:r>
              <w:rPr>
                <w:webHidden/>
              </w:rPr>
              <w:fldChar w:fldCharType="begin"/>
            </w:r>
            <w:r>
              <w:rPr>
                <w:webHidden/>
              </w:rPr>
              <w:instrText xml:space="preserve">PAGEREF _Toc158814639 \h</w:instrText>
            </w:r>
            <w:r>
              <w:rPr>
                <w:webHidden/>
              </w:rPr>
              <w:fldChar w:fldCharType="separate"/>
            </w:r>
            <w:r>
              <w:rPr>
                <w:rStyle w:val="Style20"/>
                <w:vanish w:val="false"/>
              </w:rPr>
              <w:tab/>
              <w:t>166</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40">
            <w:r>
              <w:rPr>
                <w:webHidden/>
                <w:rStyle w:val="Style20"/>
              </w:rPr>
              <w:t>Раздел 2.5 Экологические аспекты мероприятий по строительству и реконструкции объектов централизованной системы водоотведения</w:t>
            </w:r>
            <w:r>
              <w:rPr>
                <w:webHidden/>
              </w:rPr>
              <w:fldChar w:fldCharType="begin"/>
            </w:r>
            <w:r>
              <w:rPr>
                <w:webHidden/>
              </w:rPr>
              <w:instrText xml:space="preserve">PAGEREF _Toc158814640 \h</w:instrText>
            </w:r>
            <w:r>
              <w:rPr>
                <w:webHidden/>
              </w:rPr>
              <w:fldChar w:fldCharType="separate"/>
            </w:r>
            <w:r>
              <w:rPr>
                <w:rStyle w:val="Style20"/>
                <w:vanish w:val="false"/>
              </w:rPr>
              <w:tab/>
              <w:t>167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1">
            <w:r>
              <w:rPr>
                <w:webHidden/>
                <w:rStyle w:val="Style20"/>
              </w:rPr>
              <w:t>Подраздел 2.5.1 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Pr>
                <w:webHidden/>
              </w:rPr>
              <w:fldChar w:fldCharType="begin"/>
            </w:r>
            <w:r>
              <w:rPr>
                <w:webHidden/>
              </w:rPr>
              <w:instrText xml:space="preserve">PAGEREF _Toc158814641 \h</w:instrText>
            </w:r>
            <w:r>
              <w:rPr>
                <w:webHidden/>
              </w:rPr>
              <w:fldChar w:fldCharType="separate"/>
            </w:r>
            <w:r>
              <w:rPr>
                <w:rStyle w:val="Style20"/>
                <w:vanish w:val="false"/>
              </w:rPr>
              <w:tab/>
              <w:t>167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2">
            <w:r>
              <w:rPr>
                <w:webHidden/>
                <w:rStyle w:val="Style20"/>
              </w:rPr>
              <w:t>Подраздел 2.5.2 Сведения о применении методов, безопасных для окружающей среды, при утилизации осадков сточных вод</w:t>
            </w:r>
            <w:r>
              <w:rPr>
                <w:webHidden/>
              </w:rPr>
              <w:fldChar w:fldCharType="begin"/>
            </w:r>
            <w:r>
              <w:rPr>
                <w:webHidden/>
              </w:rPr>
              <w:instrText xml:space="preserve">PAGEREF _Toc158814642 \h</w:instrText>
            </w:r>
            <w:r>
              <w:rPr>
                <w:webHidden/>
              </w:rPr>
              <w:fldChar w:fldCharType="separate"/>
            </w:r>
            <w:r>
              <w:rPr>
                <w:rStyle w:val="Style20"/>
                <w:vanish w:val="false"/>
              </w:rPr>
              <w:tab/>
              <w:t>167</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43">
            <w:r>
              <w:rPr>
                <w:webHidden/>
                <w:rStyle w:val="Style20"/>
              </w:rPr>
              <w:t>Раздел 2.6 Оценка потребности в капитальных вложениях в строительство, реконструкцию и модернизацию объектов централизованной системы водоотведения</w:t>
            </w:r>
            <w:r>
              <w:rPr>
                <w:webHidden/>
              </w:rPr>
              <w:fldChar w:fldCharType="begin"/>
            </w:r>
            <w:r>
              <w:rPr>
                <w:webHidden/>
              </w:rPr>
              <w:instrText xml:space="preserve">PAGEREF _Toc158814643 \h</w:instrText>
            </w:r>
            <w:r>
              <w:rPr>
                <w:webHidden/>
              </w:rPr>
              <w:fldChar w:fldCharType="separate"/>
            </w:r>
            <w:r>
              <w:rPr>
                <w:rStyle w:val="Style20"/>
                <w:vanish w:val="false"/>
              </w:rPr>
              <w:tab/>
              <w:t>168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4">
            <w:r>
              <w:rPr>
                <w:webHidden/>
                <w:rStyle w:val="Style20"/>
              </w:rPr>
              <w:t>Подраздел 2.6.1 Оценка потребности в капитальных вложениях в строительство и реконструкцию объектов централизованных систем водоотведения, рассчитанная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r>
              <w:rPr>
                <w:webHidden/>
              </w:rPr>
              <w:fldChar w:fldCharType="begin"/>
            </w:r>
            <w:r>
              <w:rPr>
                <w:webHidden/>
              </w:rPr>
              <w:instrText xml:space="preserve">PAGEREF _Toc158814644 \h</w:instrText>
            </w:r>
            <w:r>
              <w:rPr>
                <w:webHidden/>
              </w:rPr>
              <w:fldChar w:fldCharType="separate"/>
            </w:r>
            <w:r>
              <w:rPr>
                <w:rStyle w:val="Style20"/>
                <w:vanish w:val="false"/>
              </w:rPr>
              <w:tab/>
              <w:t>168</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45">
            <w:r>
              <w:rPr>
                <w:webHidden/>
                <w:rStyle w:val="Style20"/>
              </w:rPr>
              <w:t>Раздел 2.7 Плановые значения показателей развития централизованных систем водоотведения</w:t>
            </w:r>
            <w:r>
              <w:rPr>
                <w:webHidden/>
              </w:rPr>
              <w:fldChar w:fldCharType="begin"/>
            </w:r>
            <w:r>
              <w:rPr>
                <w:webHidden/>
              </w:rPr>
              <w:instrText xml:space="preserve">PAGEREF _Toc158814645 \h</w:instrText>
            </w:r>
            <w:r>
              <w:rPr>
                <w:webHidden/>
              </w:rPr>
              <w:fldChar w:fldCharType="separate"/>
            </w:r>
            <w:r>
              <w:rPr>
                <w:rStyle w:val="Style20"/>
                <w:vanish w:val="false"/>
              </w:rPr>
              <w:tab/>
              <w:t>173</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6">
            <w:r>
              <w:rPr>
                <w:webHidden/>
                <w:rStyle w:val="Style20"/>
              </w:rPr>
              <w:t>Подраздел 2.7.1 Показатели надежности и бесперебойности водоотведения</w:t>
            </w:r>
            <w:r>
              <w:rPr>
                <w:webHidden/>
              </w:rPr>
              <w:fldChar w:fldCharType="begin"/>
            </w:r>
            <w:r>
              <w:rPr>
                <w:webHidden/>
              </w:rPr>
              <w:instrText xml:space="preserve">PAGEREF _Toc158814646 \h</w:instrText>
            </w:r>
            <w:r>
              <w:rPr>
                <w:webHidden/>
              </w:rPr>
              <w:fldChar w:fldCharType="separate"/>
            </w:r>
            <w:r>
              <w:rPr>
                <w:rStyle w:val="Style20"/>
                <w:vanish w:val="false"/>
              </w:rPr>
              <w:tab/>
              <w:t>177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7">
            <w:r>
              <w:rPr>
                <w:webHidden/>
                <w:rStyle w:val="Style20"/>
              </w:rPr>
              <w:t>Подраздел 2.7.2 Показатели очистки сточных вод</w:t>
            </w:r>
            <w:r>
              <w:rPr>
                <w:webHidden/>
              </w:rPr>
              <w:fldChar w:fldCharType="begin"/>
            </w:r>
            <w:r>
              <w:rPr>
                <w:webHidden/>
              </w:rPr>
              <w:instrText xml:space="preserve">PAGEREF _Toc158814647 \h</w:instrText>
            </w:r>
            <w:r>
              <w:rPr>
                <w:webHidden/>
              </w:rPr>
              <w:fldChar w:fldCharType="separate"/>
            </w:r>
            <w:r>
              <w:rPr>
                <w:rStyle w:val="Style20"/>
                <w:vanish w:val="false"/>
              </w:rPr>
              <w:tab/>
              <w:t>177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8">
            <w:r>
              <w:rPr>
                <w:webHidden/>
                <w:rStyle w:val="Style20"/>
              </w:rPr>
              <w:t>Подраздел 2.7.3 Показатели эффективности использования ресурсов при транспортировке сточных вод</w:t>
            </w:r>
            <w:r>
              <w:rPr>
                <w:webHidden/>
              </w:rPr>
              <w:fldChar w:fldCharType="begin"/>
            </w:r>
            <w:r>
              <w:rPr>
                <w:webHidden/>
              </w:rPr>
              <w:instrText xml:space="preserve">PAGEREF _Toc158814648 \h</w:instrText>
            </w:r>
            <w:r>
              <w:rPr>
                <w:webHidden/>
              </w:rPr>
              <w:fldChar w:fldCharType="separate"/>
            </w:r>
            <w:r>
              <w:rPr>
                <w:rStyle w:val="Style20"/>
                <w:vanish w:val="false"/>
              </w:rPr>
              <w:tab/>
              <w:t>177</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49">
            <w:r>
              <w:rPr>
                <w:webHidden/>
                <w:rStyle w:val="Style20"/>
              </w:rPr>
              <w:t>Подраздел 2.7.4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Pr>
                <w:webHidden/>
              </w:rPr>
              <w:fldChar w:fldCharType="begin"/>
            </w:r>
            <w:r>
              <w:rPr>
                <w:webHidden/>
              </w:rPr>
              <w:instrText xml:space="preserve">PAGEREF _Toc158814649 \h</w:instrText>
            </w:r>
            <w:r>
              <w:rPr>
                <w:webHidden/>
              </w:rPr>
              <w:fldChar w:fldCharType="separate"/>
            </w:r>
            <w:r>
              <w:rPr>
                <w:rStyle w:val="Style20"/>
                <w:vanish w:val="false"/>
              </w:rPr>
              <w:tab/>
              <w:t>177</w:t>
            </w:r>
            <w:r>
              <w:rPr>
                <w:webHidden/>
              </w:rPr>
              <w:fldChar w:fldCharType="end"/>
            </w:r>
          </w:hyperlink>
        </w:p>
        <w:p>
          <w:pPr>
            <w:pStyle w:val="23"/>
            <w:rPr>
              <w:rFonts w:ascii="Calibri" w:hAnsi="Calibri" w:eastAsia="" w:asciiTheme="minorHAnsi" w:eastAsiaTheme="minorEastAsia" w:hAnsiTheme="minorHAnsi"/>
              <w:sz w:val="22"/>
              <w:szCs w:val="22"/>
              <w:lang w:eastAsia="ru-RU"/>
            </w:rPr>
          </w:pPr>
          <w:hyperlink w:anchor="_Toc158814650">
            <w:r>
              <w:rPr>
                <w:webHidden/>
                <w:rStyle w:val="Style20"/>
              </w:rPr>
              <w:t>Раздел 2.8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Pr>
                <w:webHidden/>
              </w:rPr>
              <w:fldChar w:fldCharType="begin"/>
            </w:r>
            <w:r>
              <w:rPr>
                <w:webHidden/>
              </w:rPr>
              <w:instrText xml:space="preserve">PAGEREF _Toc158814650 \h</w:instrText>
            </w:r>
            <w:r>
              <w:rPr>
                <w:webHidden/>
              </w:rPr>
              <w:fldChar w:fldCharType="separate"/>
            </w:r>
            <w:r>
              <w:rPr>
                <w:rStyle w:val="Style20"/>
                <w:vanish w:val="false"/>
              </w:rPr>
              <w:tab/>
              <w:t>178</w:t>
            </w:r>
            <w:r>
              <w:rPr>
                <w:webHidden/>
              </w:rPr>
              <w:fldChar w:fldCharType="end"/>
            </w:r>
          </w:hyperlink>
        </w:p>
        <w:p>
          <w:pPr>
            <w:pStyle w:val="32"/>
            <w:tabs>
              <w:tab w:val="clear" w:pos="708"/>
              <w:tab w:val="right" w:pos="9345" w:leader="dot"/>
            </w:tabs>
            <w:rPr>
              <w:rFonts w:ascii="Calibri" w:hAnsi="Calibri" w:eastAsia="" w:asciiTheme="minorHAnsi" w:eastAsiaTheme="minorEastAsia" w:hAnsiTheme="minorHAnsi"/>
              <w:sz w:val="22"/>
              <w:szCs w:val="22"/>
              <w:lang w:eastAsia="ru-RU"/>
            </w:rPr>
          </w:pPr>
          <w:hyperlink w:anchor="_Toc158814651">
            <w:r>
              <w:rPr>
                <w:webHidden/>
                <w:rStyle w:val="Style20"/>
              </w:rPr>
              <w:t>Подраздел 2.8.1 Перечень выявленных бесхозяйных объектов централизованной системы водоотведения, в том числе канализационных сетей (в случае их выявления), а также перечень организаций, эксплуатирующих такие объекты</w:t>
            </w:r>
            <w:r>
              <w:rPr>
                <w:webHidden/>
              </w:rPr>
              <w:fldChar w:fldCharType="begin"/>
            </w:r>
            <w:r>
              <w:rPr>
                <w:webHidden/>
              </w:rPr>
              <w:instrText xml:space="preserve">PAGEREF _Toc158814651 \h</w:instrText>
            </w:r>
            <w:r>
              <w:rPr>
                <w:webHidden/>
              </w:rPr>
              <w:fldChar w:fldCharType="separate"/>
            </w:r>
            <w:r>
              <w:rPr>
                <w:rStyle w:val="Style20"/>
                <w:vanish w:val="false"/>
              </w:rPr>
              <w:tab/>
              <w:t>178</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52">
            <w:r>
              <w:rPr>
                <w:webHidden/>
                <w:rStyle w:val="Style20"/>
              </w:rPr>
              <w:t>Заключение</w:t>
            </w:r>
            <w:r>
              <w:rPr>
                <w:webHidden/>
              </w:rPr>
              <w:fldChar w:fldCharType="begin"/>
            </w:r>
            <w:r>
              <w:rPr>
                <w:webHidden/>
              </w:rPr>
              <w:instrText xml:space="preserve">PAGEREF _Toc158814652 \h</w:instrText>
            </w:r>
            <w:r>
              <w:rPr>
                <w:webHidden/>
              </w:rPr>
              <w:fldChar w:fldCharType="separate"/>
            </w:r>
            <w:r>
              <w:rPr>
                <w:rStyle w:val="Style20"/>
                <w:vanish w:val="false"/>
              </w:rPr>
              <w:tab/>
              <w:t>179</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53">
            <w:r>
              <w:rPr>
                <w:webHidden/>
                <w:rStyle w:val="Style20"/>
              </w:rPr>
              <w:t>Список использованных источников</w:t>
            </w:r>
            <w:r>
              <w:rPr>
                <w:webHidden/>
              </w:rPr>
              <w:fldChar w:fldCharType="begin"/>
            </w:r>
            <w:r>
              <w:rPr>
                <w:webHidden/>
              </w:rPr>
              <w:instrText xml:space="preserve">PAGEREF _Toc158814653 \h</w:instrText>
            </w:r>
            <w:r>
              <w:rPr>
                <w:webHidden/>
              </w:rPr>
              <w:fldChar w:fldCharType="separate"/>
            </w:r>
            <w:r>
              <w:rPr>
                <w:rStyle w:val="Style20"/>
                <w:vanish w:val="false"/>
              </w:rPr>
              <w:tab/>
              <w:t>180</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54">
            <w:r>
              <w:rPr>
                <w:webHidden/>
                <w:rStyle w:val="Style20"/>
              </w:rPr>
              <w:t>Приложение П-1</w:t>
            </w:r>
            <w:r>
              <w:rPr>
                <w:webHidden/>
              </w:rPr>
              <w:fldChar w:fldCharType="begin"/>
            </w:r>
            <w:r>
              <w:rPr>
                <w:webHidden/>
              </w:rPr>
              <w:instrText xml:space="preserve">PAGEREF _Toc158814654 \h</w:instrText>
            </w:r>
            <w:r>
              <w:rPr>
                <w:webHidden/>
              </w:rPr>
              <w:fldChar w:fldCharType="separate"/>
            </w:r>
            <w:r>
              <w:rPr>
                <w:rStyle w:val="Style20"/>
                <w:vanish w:val="false"/>
              </w:rPr>
              <w:tab/>
              <w:t>183</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55">
            <w:r>
              <w:rPr>
                <w:webHidden/>
                <w:rStyle w:val="Style20"/>
              </w:rPr>
              <w:t>Приложение П-2</w:t>
            </w:r>
            <w:r>
              <w:rPr>
                <w:webHidden/>
              </w:rPr>
              <w:fldChar w:fldCharType="begin"/>
            </w:r>
            <w:r>
              <w:rPr>
                <w:webHidden/>
              </w:rPr>
              <w:instrText xml:space="preserve">PAGEREF _Toc158814655 \h</w:instrText>
            </w:r>
            <w:r>
              <w:rPr>
                <w:webHidden/>
              </w:rPr>
              <w:fldChar w:fldCharType="separate"/>
            </w:r>
            <w:r>
              <w:rPr>
                <w:rStyle w:val="Style20"/>
                <w:vanish w:val="false"/>
              </w:rPr>
              <w:tab/>
              <w:t>184</w:t>
            </w:r>
            <w:r>
              <w:rPr>
                <w:webHidden/>
              </w:rPr>
              <w:fldChar w:fldCharType="end"/>
            </w:r>
          </w:hyperlink>
        </w:p>
        <w:p>
          <w:pPr>
            <w:pStyle w:val="13"/>
            <w:tabs>
              <w:tab w:val="clear" w:pos="708"/>
              <w:tab w:val="right" w:pos="9345" w:leader="dot"/>
            </w:tabs>
            <w:rPr>
              <w:rFonts w:ascii="Calibri" w:hAnsi="Calibri" w:eastAsia="" w:asciiTheme="minorHAnsi" w:eastAsiaTheme="minorEastAsia" w:hAnsiTheme="minorHAnsi"/>
              <w:sz w:val="22"/>
              <w:szCs w:val="22"/>
              <w:lang w:eastAsia="ru-RU"/>
            </w:rPr>
          </w:pPr>
          <w:hyperlink w:anchor="_Toc158814656">
            <w:r>
              <w:rPr>
                <w:webHidden/>
                <w:rStyle w:val="Style20"/>
              </w:rPr>
              <w:t>Приложение П-3</w:t>
            </w:r>
            <w:r>
              <w:rPr>
                <w:webHidden/>
              </w:rPr>
              <w:fldChar w:fldCharType="begin"/>
            </w:r>
            <w:r>
              <w:rPr>
                <w:webHidden/>
              </w:rPr>
              <w:instrText xml:space="preserve">PAGEREF _Toc158814656 \h</w:instrText>
            </w:r>
            <w:r>
              <w:rPr>
                <w:webHidden/>
              </w:rPr>
              <w:fldChar w:fldCharType="separate"/>
            </w:r>
            <w:r>
              <w:rPr>
                <w:rStyle w:val="Style20"/>
                <w:vanish w:val="false"/>
              </w:rPr>
              <w:tab/>
              <w:t>189</w:t>
            </w:r>
            <w:r>
              <w:rPr>
                <w:webHidden/>
              </w:rPr>
              <w:fldChar w:fldCharType="end"/>
            </w:r>
          </w:hyperlink>
          <w:r>
            <w:rPr>
              <w:rStyle w:val="Style20"/>
              <w:vanish w:val="false"/>
            </w:rPr>
            <w:fldChar w:fldCharType="end"/>
          </w:r>
        </w:p>
      </w:sdtContent>
    </w:sdt>
    <w:p>
      <w:pPr>
        <w:pStyle w:val="Normal"/>
        <w:widowControl/>
        <w:bidi w:val="0"/>
        <w:spacing w:before="120" w:after="120"/>
        <w:ind w:firstLine="709"/>
        <w:jc w:val="both"/>
        <w:rPr/>
      </w:pPr>
      <w:r>
        <w:rPr/>
      </w:r>
    </w:p>
    <w:p>
      <w:pPr>
        <w:pStyle w:val="Style27"/>
        <w:rPr/>
      </w:pPr>
      <w:bookmarkStart w:id="2" w:name="_Toc158814547"/>
      <w:r>
        <w:rPr/>
        <w:t>Реферат</w:t>
      </w:r>
      <w:bookmarkEnd w:id="2"/>
    </w:p>
    <w:p>
      <w:pPr>
        <w:pStyle w:val="Normal"/>
        <w:rPr/>
      </w:pPr>
      <w:r>
        <w:rPr/>
        <w:t xml:space="preserve">Объем </w:t>
      </w:r>
      <w:r>
        <w:rPr/>
        <w:fldChar w:fldCharType="begin"/>
      </w:r>
      <w:r>
        <w:rPr/>
        <w:instrText xml:space="preserve"> NUMPAGES \* ARABIC </w:instrText>
      </w:r>
      <w:r>
        <w:rPr/>
        <w:fldChar w:fldCharType="separate"/>
      </w:r>
      <w:r>
        <w:rPr/>
        <w:t>197</w:t>
      </w:r>
      <w:r>
        <w:rPr/>
        <w:fldChar w:fldCharType="end"/>
      </w:r>
      <w:r>
        <w:rPr/>
        <w:t xml:space="preserve"> с., 1 кн., 40 рис., 40 табл., 32 источн., 3 прил.</w:t>
      </w:r>
    </w:p>
    <w:p>
      <w:pPr>
        <w:pStyle w:val="Normal"/>
        <w:rPr/>
      </w:pPr>
      <w:r>
        <w:rPr/>
        <w:t>СХЕМА ВОДОСНАБЖЕНИЯ (ВОДООТВЕДЕНИЯ), ЦЕНТРАЛИЗОВАННАЯ СИСТЕМА ХОЛОДНОГО (ГОРЯЧЕГО) ВОДОСНАБЖЕНИЯ, ЦЕНТРАЛИЗОВАННАЯ СИСТЕМА ВОДООТВЕДЕНИЯ (КАНАЛИЗАЦИИ), ТЕХНОЛОГИЧЕСКАЯ ЗОНА ВОДОСНАБЖЕНИЯ (ВОДООТВЕДЕНИЯ), ИСТОЧНИК ВОДОСНАБЖЕНИЯ, ВОДОПОДГОТОВКА, ВОДОПРОВОДНАЯ (КАНАЛИЗАЦИОННАЯ) НАСОСНАЯ СТАНЦИЯ, ОЧИСТКА СТОЧНЫХ ВОД, КАНАЛИЗАЦИОННЫЕ ОЧИСТНЫЕ СООРУЖЕНИЯ</w:t>
      </w:r>
    </w:p>
    <w:p>
      <w:pPr>
        <w:pStyle w:val="Normal"/>
        <w:rPr/>
      </w:pPr>
      <w:r>
        <w:rPr/>
        <w:t xml:space="preserve">Объектом исследования являются централизованные системы водоснабжения и водоотведения Беловского городского округа. </w:t>
      </w:r>
    </w:p>
    <w:p>
      <w:pPr>
        <w:pStyle w:val="Normal"/>
        <w:rPr/>
      </w:pPr>
      <w:r>
        <w:rPr/>
        <w:t xml:space="preserve">Цель работы – создание научно-обоснованного по целям, задачам, ресурсам и срокам комплекса мероприятий в части строительства, реконструкции, технического перевооружения и (или) модернизации объектов централизованных систем водоснабжения и водоотведения с целью повышения (недопущения ухудшения) плановых значений показателей развития централизованных систем водоснабжения и водоотведения. </w:t>
      </w:r>
    </w:p>
    <w:p>
      <w:pPr>
        <w:pStyle w:val="Normal"/>
        <w:rPr/>
      </w:pPr>
      <w:r>
        <w:rPr/>
        <w:t xml:space="preserve">В процессе работы был произведен анализ технико-экономического состояния централизованных систем водоснабжения и водоотведения Беловского городского округа по состоянию на конец 2023 года в соответствии с действующей нормативной документацией в сфере водоснабжения и водоотведения, действующей нормативной документацией в сфере энергосбережения и повышения энергетической эффективности.   </w:t>
      </w:r>
    </w:p>
    <w:p>
      <w:pPr>
        <w:pStyle w:val="Normal"/>
        <w:rPr/>
      </w:pPr>
      <w:r>
        <w:rPr/>
        <w:t xml:space="preserve">В результате исследования разработана геоинформационной системы водоснабжения и водоотведения Беловского городского округа, включающая комплекс мероприятий в части строительства, реконструкции, технического перевооружения и (или) модернизации объектов централизованных систем водоснабжения и водоотведения, в соответствии с которыми сформированы перспективные балансы водоснабжения и потребления горячей, питьевой, технической воды, перспективные балансы сточных вод в системе водоотведения, а также определены плановые значения показателей развития централизованных систем водоснабжения и водоотведения. </w:t>
      </w:r>
    </w:p>
    <w:p>
      <w:pPr>
        <w:pStyle w:val="Normal"/>
        <w:rPr/>
      </w:pPr>
      <w:r>
        <w:rPr/>
        <w:t>Областью применения результатов научно-исследовательской работы являются перспективные (на период до 2036 года) предпроектные и проектные разработки применительно к объекту исследования.</w:t>
      </w:r>
    </w:p>
    <w:p>
      <w:pPr>
        <w:pStyle w:val="Normal"/>
        <w:rPr/>
      </w:pPr>
      <w:r>
        <w:rPr/>
      </w:r>
    </w:p>
    <w:p>
      <w:pPr>
        <w:pStyle w:val="Style27"/>
        <w:rPr/>
      </w:pPr>
      <w:bookmarkStart w:id="3" w:name="_Toc158814548"/>
      <w:r>
        <w:rPr/>
        <w:t>Термины и определения</w:t>
      </w:r>
      <w:bookmarkEnd w:id="3"/>
    </w:p>
    <w:p>
      <w:pPr>
        <w:pStyle w:val="Normal"/>
        <w:rPr/>
      </w:pPr>
      <w:r>
        <w:rPr/>
        <w:t>В настоящей работе применяют следующие термины с соответствующими определениями:</w:t>
      </w:r>
    </w:p>
    <w:tbl>
      <w:tblPr>
        <w:tblW w:w="5000" w:type="pct"/>
        <w:jc w:val="left"/>
        <w:tblInd w:w="0" w:type="dxa"/>
        <w:tblLayout w:type="fixed"/>
        <w:tblCellMar>
          <w:top w:w="28" w:type="dxa"/>
          <w:left w:w="28" w:type="dxa"/>
          <w:bottom w:w="28" w:type="dxa"/>
          <w:right w:w="28" w:type="dxa"/>
        </w:tblCellMar>
        <w:tblLook w:noVBand="1" w:val="04a0" w:noHBand="0" w:lastColumn="0" w:firstColumn="1" w:lastRow="0" w:firstRow="1"/>
      </w:tblPr>
      <w:tblGrid>
        <w:gridCol w:w="3036"/>
        <w:gridCol w:w="256"/>
        <w:gridCol w:w="6063"/>
      </w:tblGrid>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Абонент</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p>
            <w:pPr>
              <w:pStyle w:val="Normal"/>
              <w:widowControl w:val="false"/>
              <w:spacing w:before="0" w:after="0"/>
              <w:ind w:hanging="0"/>
              <w:rPr>
                <w:rFonts w:eastAsia="Times New Roman" w:cs="Times New Roman"/>
                <w:color w:val="000000"/>
                <w:sz w:val="20"/>
                <w:szCs w:val="20"/>
                <w:lang w:val="en-US"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Автоматизированная система управления технологическими процессами</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человеко-машинная система на основе средств промышленной автоматизации и телекоммуникаций, обеспечивающая комплексное автоматическое и автоматизированное управление технологическими процессами объектов и сооружений централизованных систем водоснабжения 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_Ref155189063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15</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Авария на водопроводной сети</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повреждения трубопроводов, сооружений и оборудования на сети или нарушение их эксплуатации, вызывающие полное или частичное прекращение подачи воды абонентам, затопление территории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_Ref154934015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6</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Авария на канализационной сети</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внезапные разрушения труб и сооружений или их закупорка с прекращением отведения сточных вод и изливом их на территорию</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_Ref154934015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6</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Водный объект</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сосредоточение природных вод из поверхности суши либо в горных породах, имеющее характерные формы распространения и черты режима</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_Ref154934664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7</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гидротехническое сооружение для подвода и отвода воды в заданном направлении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_Ref154934980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8</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Водозабор</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отбор воды из водоема, водотока или подземного источника для хозяйственных целей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_Ref154934980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8</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Водозаборная скважина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скважина для забора подземных вод, оборудованная, как правило, обсадными трубами и фильтром</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Водозаборное сооружение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гидротехническое сооружение, предназначенное для водозабора</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_Ref154934980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8</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Водонапорная башня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напорный резервуар для воды на искусственной опорной конструкции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Водоотведение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прием, транспортировка и очистка сточных вод с использованием централизованной системы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Водоподготовка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обработка воды, обеспечивающая ее использование в качестве питьевой или технической воды</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Водопользование (использование водных объектов)</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использование различными способами водных объектов для удовлетворения потребностей Российской Федерации, субъектов Российской Федерации, муниципальных образований, физических лиц, юридических лиц</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_Ref155182844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10</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Водопровод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сооружений, включающий водозабор, водопроводные насосные станции, станцию очистки воды или водоподготовки, водопроводную сеть и резервуары для обеспечения водой определенного качества потребителей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Водопроводная насосная станция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сооружение водопровода, оборудованное насосно-силовой установкой для подъема и подачи воды в водоводы и водопроводную сеть</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Водопроводная сеть</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транспортировки воды, за исключением инженерных сооружений, используемых также в целях теплоснабжения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Водопроводный колодец</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сооружение на водопроводной сети, предназначенное для установки арматуры и эксплуатации сети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 xml:space="preserve">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 </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Выпуск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трубопровод, отводящий очищенные сточные воды в водный объект</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_Ref155183642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11</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Гарантирующая организация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осуществляющая холодное водоснабжение и (или) водоотведение, определенная решением органа местного самоуправления (за исключением случаев, предусмотренных настоящим Федеральным законом),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Горячая вода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Зона санитарной охраны</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территория и акватория, на которых устанавливается особый санитарно-эпидемиологический режим для предотвращения ухудшения качества воды источников централизованного хозяйственно-питьевого водоснабжения и для охраны водопроводных сооружений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_Ref155182844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10</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Источник питьевого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водный объект (или его часть), который содержит воду, отвечающую установленным гигиеническим нормативам для источников питьевого водоснабжения, и используется или может быть использован для забора воды в системы питьевого водоснабжения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_Ref155184682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Исходная вода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вода, поступающая из водного объекта</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Инвестиционная программа организации, осуществляющей горячее водоснабжение, холодное водоснабжение и (или) водоотведение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программа мероприятий по строительству, реконструкции и модернизации объектов централизованной системы горячего водоснабжения, холодного водоснабжения и (или)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Канализационная насосная станция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сооружение канализации, оборудованное насосно-силовой установкой для подъема и подачи сточных вод по канализационной сети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Канализационная сеть</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транспортировки сточных вод</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Канализационные очистные сооружения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зданий, сооружений и устройств, предназначенных для обработки сточных вод с целью разрушения или удаления из них определенных веществ</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Канализационный выпуск</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трубопровод, отводящий сточные воды из зданий и сооружений в канализацию</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_Ref155183642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11</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Канализационный колодец</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сооружение на канализационной сети, предназначенное для установки арматуры и эксплуатации сети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Отведение бытовых, промышленных и ливневых сточных вод</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Качество и безопасность воды</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совокупность показателей, характеризующих физические, химические, бактериологические, органолептические и другие свойства воды, в том числе ее температуру</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Коммерческий учет воды и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определение количества поданной (полученной) за определенный период воды, принятых (отведенных) сточных вод с помощью средств измерений (далее - приборы учета) или расчетным способом</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Компактные установки для очистки бытовых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Локальные очистные сооружения, относящиеся к категории сверхмалых очистных сооружений производительностью до 30 м3/сут и предназначенные для очистки хозяйственно-бытовых и близких по составу сточных вод непосредственно в местах их происхождения способом биологической очистки без применения расходных химических и биологических компонентов</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_Ref155185658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Локальное очистное сооружение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сооружение или устройство, обеспечивающие очистку сточных вод абонента до их отведения (сброса) в централизованную систему водоотведения (канализации)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Насосная станция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сооружений и оборудования для осуществления забора воды и/или подъема воды насосами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_Ref154934980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8</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Нецентрализованная система горячего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Нецентрализованная система холодного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Нормативы состава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устанавливаемые в целях охраны водных объектов от загрязнения показатели концентрации загрязняющих веществ в составе сточных вод абонента, сбрасываемых в централизованную систему водоотведения (канализации)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Объект централизованной системы горячего водоснабжения, холодного водоснабжения и (или)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 водоотведения, непосредственно используемое для горячего водоснабжения, холодного водоснабжения и (или)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Очистка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обработка сточных вод с целью разрушения или удаления из них определенных веществ</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_Ref155182844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10</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осуществляющая горячее водоснабжение</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юридическое лицо, осуществляющее эксплуатацию централизованной системы горячего водоснабжения, отдельных объектов такой системы. В целях [</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 к организациям, осуществляющим горячее водоснабжение, приравниваются индивидуальные предприниматели, осуществляющие эксплуатацию централизованных систем горячего водоснабжения, отдельных объектов таких систем</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осуществляющая холодное водоснабжение и (или) водоотведение (организация водопроводно-канализационного хозяйства)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юридическое лицо, осуществляющее эксплуатацию централизованных систем холодного водоснабжения и (или) водоотведения, отдельных объектов таких систем. В целях [</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 к организациям, осуществляющим холодное водоснабжение и (или) водоотведение (организациям водопроводно-канализационного хозяйства), приравниваются индивидуальные предприниматели, осуществляющие эксплуатацию централизованных систем холодного водоснабжения и (или) водоотведения, отдельных объектов таких систем</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 регулирования тарифов в сфере водоснабжения 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уполномоченный орган исполнительной власти субъекта Российской Федерации в области 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осуществляющий регулирование тарифов в сфере водоснабжения 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Питьевая вода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водоснабжение и (или) водоотведение, а также в целях регулирования тарифов</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Приготовление горячей воды</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нагрев воды, а также при необходимости очистка, химическая подготовка и другие технологические процессы, осуществляемые с водой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Резервуар для воды</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закрытое сооружение для хранения воды</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Санитарно-защитная зона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_Ref155186900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14</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Станция водоподготовки</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зданий, сооружений и устройств для водоподготовки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_Ref154935401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9</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Состав и свойства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совокупность показателей, характеризующих физические, химические, бактериологические и другие свойства сточных вод, в том числе концентрацию загрязняющих веществ, иных веществ и микроорганизмов в сточных водах</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Сточные воды централизованной системы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Схемы водоснабжения 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совокупность графического (схемы, чертежи, планы подземных коммуникаций на основе топографо-геодезической подосновы, космо- и аэрофотосъемочные материалы) и текстового описания технико-экономического состояния централизованных систем горячего водоснабжения, холодного водоснабжения и (или) водоотведения и направлений их развития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_Ref154925043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Техническая вода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вода, подаваемая с использованием централизованной или нецентрализованной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Техническое обследование централизованных систем горячего водоснабжения, холодного водоснабжения и (или)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оценка технических характеристик объектов централизованных систем горячего водоснабжения, холодного водоснабжения и (или)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_Ref154925043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_Ref154925043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Транзитная организация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осуществляющая эксплуатацию водопроводных и (или) канализационных сетей и (или) сооружений на них, оказывающая услуги по транспортировке воды и (или) сточных вод и соответствующая утвержденным Правительством Российской Федерации критериям отнесения собственников или иных законных владельцев водопроводных и (или) канализационных сетей и (или) сооружений на них к транзитным организациям (данное положение применяется к регулированию сходных отношений с участием индивидуальных предпринимателей)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Транспортировка воды (сточных вод)</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перемещение воды (сточных вод), осуществляемое с использованием водопроводных (канализационных) сетей</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водоотведения (канализации)</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водоотведения поселения, муниципального округа или городского округа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водоотведения с территории поселения, муниципального округа или городского округа</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горячего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холодного водоснабжения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_Ref154925037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2</w:t>
            </w:r>
            <w:r>
              <w:rPr>
                <w:sz w:val="20"/>
                <w:szCs w:val="20"/>
                <w:rFonts w:eastAsia="Times New Roman" w:cs="Times New Roman"/>
                <w:color w:val="000000"/>
                <w:lang w:val="en-US" w:eastAsia="ru-RU"/>
              </w:rPr>
              <w:fldChar w:fldCharType="end"/>
            </w:r>
            <w:r>
              <w:rPr>
                <w:rFonts w:eastAsia="Times New Roman" w:cs="Times New Roman"/>
                <w:color w:val="000000"/>
                <w:sz w:val="20"/>
                <w:szCs w:val="20"/>
                <w:lang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Эксплуатационная зона</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_Ref154925043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Эксплуатация централизованных систем и сооружений водоснабжения 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стадия жизненного цикла объектов, на которой реализуется, поддерживается и восстанавливается их качество (работоспособное состояние)</w:t>
            </w:r>
          </w:p>
          <w:p>
            <w:pPr>
              <w:pStyle w:val="Normal"/>
              <w:widowControl w:val="false"/>
              <w:spacing w:before="0" w:after="0"/>
              <w:ind w:left="708" w:hanging="708"/>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_Ref155189063 \n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15</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Электронная модель систем водоснабжения и (или) водоотведения</w:t>
            </w:r>
          </w:p>
        </w:tc>
        <w:tc>
          <w:tcPr>
            <w:tcW w:w="256" w:type="dxa"/>
            <w:tcBorders/>
            <w:shd w:color="auto" w:fill="auto" w:val="clea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информационная система, включающая в себя базы данных, программное и техническое обеспечение, предназначенная для хранения, мониторинга и актуализации информации о технико-экономическом состоянии централизованных систем горячего водоснабжения, холодного водоснабжения и (или) водоотведения, осуществления механизма оперативно-диспетчерского управления в указанных централизованных системах, обеспечения проведения гидравлических расчетов</w:t>
            </w:r>
          </w:p>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val="en-US" w:eastAsia="ru-RU"/>
              </w:rPr>
              <w:t>[</w:t>
            </w:r>
            <w:r>
              <w:rPr>
                <w:rFonts w:eastAsia="Times New Roman" w:cs="Times New Roman"/>
                <w:color w:val="000000"/>
                <w:sz w:val="20"/>
                <w:szCs w:val="20"/>
                <w:lang w:val="en-US" w:eastAsia="ru-RU"/>
              </w:rPr>
              <w:fldChar w:fldCharType="begin"/>
            </w:r>
            <w:r>
              <w:rPr>
                <w:sz w:val="20"/>
                <w:szCs w:val="20"/>
                <w:rFonts w:eastAsia="Times New Roman" w:cs="Times New Roman"/>
                <w:color w:val="000000"/>
                <w:lang w:val="en-US" w:eastAsia="ru-RU"/>
              </w:rPr>
              <w:instrText xml:space="preserve"> REF _Ref154925043 \r \h </w:instrText>
            </w:r>
            <w:r>
              <w:rPr>
                <w:sz w:val="20"/>
                <w:szCs w:val="20"/>
                <w:rFonts w:eastAsia="Times New Roman" w:cs="Times New Roman"/>
                <w:color w:val="000000"/>
                <w:lang w:val="en-US" w:eastAsia="ru-RU"/>
              </w:rPr>
              <w:fldChar w:fldCharType="separate"/>
            </w:r>
            <w:r>
              <w:rPr>
                <w:sz w:val="20"/>
                <w:szCs w:val="20"/>
                <w:rFonts w:eastAsia="Times New Roman" w:cs="Times New Roman"/>
                <w:color w:val="000000"/>
                <w:lang w:val="en-US" w:eastAsia="ru-RU"/>
              </w:rPr>
              <w:t>3</w:t>
            </w:r>
            <w:r>
              <w:rPr>
                <w:sz w:val="20"/>
                <w:szCs w:val="20"/>
                <w:rFonts w:eastAsia="Times New Roman" w:cs="Times New Roman"/>
                <w:color w:val="000000"/>
                <w:lang w:val="en-US" w:eastAsia="ru-RU"/>
              </w:rPr>
              <w:fldChar w:fldCharType="end"/>
            </w:r>
            <w:r>
              <w:rPr>
                <w:rFonts w:eastAsia="Times New Roman" w:cs="Times New Roman"/>
                <w:color w:val="000000"/>
                <w:sz w:val="20"/>
                <w:szCs w:val="20"/>
                <w:lang w:val="en-US" w:eastAsia="ru-RU"/>
              </w:rPr>
              <w:t>]</w:t>
            </w:r>
          </w:p>
        </w:tc>
      </w:tr>
    </w:tbl>
    <w:p>
      <w:pPr>
        <w:pStyle w:val="Normal"/>
        <w:rPr/>
      </w:pPr>
      <w:r>
        <w:rPr/>
      </w:r>
    </w:p>
    <w:p>
      <w:pPr>
        <w:pStyle w:val="Style27"/>
        <w:rPr/>
      </w:pPr>
      <w:bookmarkStart w:id="4" w:name="_Toc158814549"/>
      <w:r>
        <w:rPr/>
        <w:t>Перечень сокращений и обозначений</w:t>
      </w:r>
      <w:bookmarkEnd w:id="4"/>
    </w:p>
    <w:p>
      <w:pPr>
        <w:pStyle w:val="Normal"/>
        <w:rPr/>
      </w:pPr>
      <w:r>
        <w:rPr/>
        <w:t>В настоящей работе применяют следующие сокращения и обозначения</w:t>
      </w:r>
    </w:p>
    <w:tbl>
      <w:tblPr>
        <w:tblW w:w="5000" w:type="pct"/>
        <w:jc w:val="left"/>
        <w:tblInd w:w="0" w:type="dxa"/>
        <w:tblLayout w:type="fixed"/>
        <w:tblCellMar>
          <w:top w:w="28" w:type="dxa"/>
          <w:left w:w="28" w:type="dxa"/>
          <w:bottom w:w="28" w:type="dxa"/>
          <w:right w:w="28" w:type="dxa"/>
        </w:tblCellMar>
        <w:tblLook w:noVBand="1" w:val="04a0" w:noHBand="0" w:lastColumn="0" w:firstColumn="1" w:lastRow="0" w:firstRow="1"/>
      </w:tblPr>
      <w:tblGrid>
        <w:gridCol w:w="3036"/>
        <w:gridCol w:w="256"/>
        <w:gridCol w:w="6063"/>
      </w:tblGrid>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АСУ ТП</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автоматизированная система управления технологическими процессами</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Беловский ГО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Беловский городской округ</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ВНС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водопроводная насосная станция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ВЗК</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комплекс водозаборных сооружений (водозаборный комплекс)</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ЗРА</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запорно-регулирующая арматура</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ЗСО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зона санитарной охраны</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ИЖС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индивидуальная жилая застройка</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КНС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канализационная насосная станция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КОС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канализационные очистные сооружения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МКД</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многоквартирный дом</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Объект ЦС ГВС, ХВС и (или) ВО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объект централизованной системы горячего водоснабжения, холодного водоснабжения и (или) водоотведения (соответственно)</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ОДПУ</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общедомовой прибор учета</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ВКХ</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организация, осуществляющая холодное водоснабжение и (или) водоотведение (организация водопроводно-канализационного хозяйства)</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РдВ</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резервуар для воды</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СВП</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станция водоподготовки</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СЗЗ</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санитарно-защитная зона</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СМР</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строительно-монтажные работы</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Схема ВСиВО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схема водоснабжения и водоотведения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ТЗ ВС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водоснабжения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ТЗ ВО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технологическая зона водоотведения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ЦС ВО</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водоотведения (канализации)</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ЦС ГВС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горячего водоснабжения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ЦС ХВС</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централизованная система холодного водоснабжения</w:t>
            </w:r>
          </w:p>
        </w:tc>
      </w:tr>
      <w:tr>
        <w:trPr>
          <w:trHeight w:val="20" w:hRule="atLeast"/>
          <w:cantSplit w:val="true"/>
        </w:trPr>
        <w:tc>
          <w:tcPr>
            <w:tcW w:w="3036"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ЭМ</w:t>
            </w:r>
          </w:p>
        </w:tc>
        <w:tc>
          <w:tcPr>
            <w:tcW w:w="256" w:type="dxa"/>
            <w:tcBorders/>
            <w:shd w:color="auto" w:fill="auto" w:val="clea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063" w:type="dxa"/>
            <w:tcBorders/>
            <w:shd w:color="auto" w:fill="auto" w:val="clea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электронная модель</w:t>
            </w:r>
          </w:p>
        </w:tc>
      </w:tr>
    </w:tbl>
    <w:p>
      <w:pPr>
        <w:pStyle w:val="Normal"/>
        <w:rPr/>
      </w:pPr>
      <w:r>
        <w:rPr/>
      </w:r>
    </w:p>
    <w:p>
      <w:pPr>
        <w:pStyle w:val="Style27"/>
        <w:rPr/>
      </w:pPr>
      <w:bookmarkStart w:id="5" w:name="_Toc158814550"/>
      <w:r>
        <w:rPr/>
        <w:t>Введение</w:t>
      </w:r>
      <w:bookmarkEnd w:id="5"/>
    </w:p>
    <w:p>
      <w:pPr>
        <w:pStyle w:val="Normal"/>
        <w:rPr/>
      </w:pPr>
      <w:r>
        <w:rPr/>
        <w:t>Настоящая работа выполнена в соответствии с требованиями [</w:t>
      </w:r>
      <w:r>
        <w:rPr/>
        <w:fldChar w:fldCharType="begin"/>
      </w:r>
      <w:r>
        <w:rPr/>
        <w:instrText xml:space="preserve"> REF _Ref154925037 \n \h </w:instrText>
      </w:r>
      <w:r>
        <w:rPr/>
        <w:fldChar w:fldCharType="separate"/>
      </w:r>
      <w:r>
        <w:rPr/>
        <w:t>2</w:t>
      </w:r>
      <w:r>
        <w:rPr/>
        <w:fldChar w:fldCharType="end"/>
      </w:r>
      <w:r>
        <w:rPr/>
        <w:t>] и [</w:t>
      </w:r>
      <w:r>
        <w:rPr/>
        <w:fldChar w:fldCharType="begin"/>
      </w:r>
      <w:r>
        <w:rPr/>
        <w:instrText xml:space="preserve"> REF _Ref154925043 \n \h </w:instrText>
      </w:r>
      <w:r>
        <w:rPr/>
        <w:fldChar w:fldCharType="separate"/>
      </w:r>
      <w:r>
        <w:rPr/>
        <w:t>3</w:t>
      </w:r>
      <w:r>
        <w:rPr/>
        <w:fldChar w:fldCharType="end"/>
      </w:r>
      <w:r>
        <w:rPr/>
        <w:t>], на основании муниципального контракта от 08.12.2023 № 1042-ЮР на выполнение работ по актуализации геоинформационной системы водоснабжения и водоотведения Беловского городского округа Кемеровской области – Кузбасса на 2024 год (Муниципальный контракт), заключенного между муниципальным образованием Беловского городского округа (Беловский ГО), в лице Заказчика Муниципального казенного учреждения «Служба заказчика ЖКХ» (ИНН: 4202041536), в лице директора Соловьева Дениса Александровича, действующего на основании Устава (Заказчик работ) и обществом с ограниченной ответственностью «ЯНЭНЕРГО» (ИНН: 7813351008), в лице генерального директора Никифорова Александра Юрьевича, действующего на основании Устава (Подрядчик).</w:t>
      </w:r>
    </w:p>
    <w:p>
      <w:pPr>
        <w:pStyle w:val="Normal"/>
        <w:rPr/>
      </w:pPr>
      <w:r>
        <w:rPr/>
        <w:t>Состав отчетных документов, сформированных в рамках настоящей работы, соответствует требованиям [</w:t>
      </w:r>
      <w:r>
        <w:rPr/>
        <w:fldChar w:fldCharType="begin"/>
      </w:r>
      <w:r>
        <w:rPr/>
        <w:instrText xml:space="preserve"> REF _Ref154925043 \n \h </w:instrText>
      </w:r>
      <w:r>
        <w:rPr/>
        <w:fldChar w:fldCharType="separate"/>
      </w:r>
      <w:r>
        <w:rPr/>
        <w:t>3</w:t>
      </w:r>
      <w:r>
        <w:rPr/>
        <w:fldChar w:fldCharType="end"/>
      </w:r>
      <w:r>
        <w:rPr/>
        <w:t xml:space="preserve">] и пункта 2.3 технического задания, являющегося приложением № 1 Муниципального контракта (Техническое задание). </w:t>
      </w:r>
    </w:p>
    <w:p>
      <w:pPr>
        <w:pStyle w:val="Normal"/>
        <w:rPr/>
      </w:pPr>
      <w:r>
        <w:rPr/>
        <w:t xml:space="preserve"> </w:t>
      </w:r>
      <w:r>
        <w:rPr/>
        <w:t>Настоящая работа в соответствии с пунктом 6 [</w:t>
      </w:r>
      <w:r>
        <w:rPr/>
        <w:fldChar w:fldCharType="begin"/>
      </w:r>
      <w:r>
        <w:rPr/>
        <w:instrText xml:space="preserve"> REF _Ref154925043 \n \h </w:instrText>
      </w:r>
      <w:r>
        <w:rPr/>
        <w:fldChar w:fldCharType="separate"/>
      </w:r>
      <w:r>
        <w:rPr/>
        <w:t>3</w:t>
      </w:r>
      <w:r>
        <w:rPr/>
        <w:fldChar w:fldCharType="end"/>
      </w:r>
      <w:r>
        <w:rPr/>
        <w:t>], подпунктом 4 пункта 2.2 Технического задания и положениями [</w:t>
      </w:r>
      <w:r>
        <w:rPr/>
        <w:fldChar w:fldCharType="begin"/>
      </w:r>
      <w:r>
        <w:rPr/>
        <w:instrText xml:space="preserve"> REF _Ref154926740 \n \h </w:instrText>
      </w:r>
      <w:r>
        <w:rPr/>
        <w:fldChar w:fldCharType="separate"/>
      </w:r>
      <w:r>
        <w:rPr/>
        <w:t>4</w:t>
      </w:r>
      <w:r>
        <w:rPr/>
        <w:fldChar w:fldCharType="end"/>
      </w:r>
      <w:r>
        <w:rPr/>
        <w:t xml:space="preserve">] разработана на перспективный период 2024–2036 годов. </w:t>
      </w:r>
    </w:p>
    <w:p>
      <w:pPr>
        <w:pStyle w:val="Normal"/>
        <w:rPr/>
      </w:pPr>
      <w:r>
        <w:rPr/>
        <w:t>В качестве исходных данных в рамках настоящей работы использованы актуальные на 08.12.2023 редакции (версии) нормативных правовых актов, документов и материалов, указанных в пункте 7 [</w:t>
      </w:r>
      <w:r>
        <w:rPr/>
        <w:fldChar w:fldCharType="begin"/>
      </w:r>
      <w:r>
        <w:rPr/>
        <w:instrText xml:space="preserve"> REF _Ref154925043 \n \h </w:instrText>
      </w:r>
      <w:r>
        <w:rPr/>
        <w:fldChar w:fldCharType="separate"/>
      </w:r>
      <w:r>
        <w:rPr/>
        <w:t>3</w:t>
      </w:r>
      <w:r>
        <w:rPr/>
        <w:fldChar w:fldCharType="end"/>
      </w:r>
      <w:r>
        <w:rPr/>
        <w:t xml:space="preserve">]. Кроме того, в соответствии с пунктом 2.4 Технического задания использована дополнительная исходная информация, собранная Подрядчиком для выполнения работы. </w:t>
      </w:r>
    </w:p>
    <w:p>
      <w:pPr>
        <w:pStyle w:val="Normal"/>
        <w:rPr/>
      </w:pPr>
      <w:r>
        <w:rPr/>
        <w:t xml:space="preserve">В состав отчетной документации, разработанной в рамках выполнения Муниципального контракта, входит: </w:t>
      </w:r>
    </w:p>
    <w:p>
      <w:pPr>
        <w:pStyle w:val="Style31"/>
        <w:numPr>
          <w:ilvl w:val="0"/>
          <w:numId w:val="2"/>
        </w:numPr>
        <w:rPr/>
      </w:pPr>
      <w:r>
        <w:rPr/>
        <w:t>Муниципальная геоинформационная система (МГС), предоставленная в Web-интерфейсе;</w:t>
      </w:r>
    </w:p>
    <w:p>
      <w:pPr>
        <w:pStyle w:val="Style31"/>
        <w:numPr>
          <w:ilvl w:val="0"/>
          <w:numId w:val="2"/>
        </w:numPr>
        <w:rPr/>
      </w:pPr>
      <w:r>
        <w:rPr/>
        <w:t>Состав данных МГС:</w:t>
      </w:r>
    </w:p>
    <w:p>
      <w:pPr>
        <w:pStyle w:val="Style31"/>
        <w:numPr>
          <w:ilvl w:val="1"/>
          <w:numId w:val="2"/>
        </w:numPr>
        <w:rPr/>
      </w:pPr>
      <w:r>
        <w:rPr/>
        <w:t>Актуализированные схемы водоснабжения и водоотведения Беловского городского округа:</w:t>
      </w:r>
    </w:p>
    <w:p>
      <w:pPr>
        <w:pStyle w:val="Style31"/>
        <w:numPr>
          <w:ilvl w:val="2"/>
          <w:numId w:val="2"/>
        </w:numPr>
        <w:rPr/>
      </w:pPr>
      <w:r>
        <w:rPr/>
        <w:t>Текстовая часть;</w:t>
      </w:r>
    </w:p>
    <w:p>
      <w:pPr>
        <w:pStyle w:val="Style31"/>
        <w:numPr>
          <w:ilvl w:val="2"/>
          <w:numId w:val="2"/>
        </w:numPr>
        <w:rPr/>
      </w:pPr>
      <w:r>
        <w:rPr/>
        <w:t>Графическая часть;</w:t>
      </w:r>
    </w:p>
    <w:p>
      <w:pPr>
        <w:pStyle w:val="Style31"/>
        <w:numPr>
          <w:ilvl w:val="1"/>
          <w:numId w:val="2"/>
        </w:numPr>
        <w:rPr/>
      </w:pPr>
      <w:r>
        <w:rPr/>
        <w:t>Электронная гидравлическая модель систем водоснабжения и водоотведения Беловского городского округа;</w:t>
      </w:r>
    </w:p>
    <w:p>
      <w:pPr>
        <w:pStyle w:val="Style31"/>
        <w:numPr>
          <w:ilvl w:val="0"/>
          <w:numId w:val="2"/>
        </w:numPr>
        <w:rPr/>
      </w:pPr>
      <w:r>
        <w:rPr/>
        <w:t>Презентация в виде электронного документа в формате PDF и Microsoft PowerPoint (PPT/PPS);</w:t>
      </w:r>
    </w:p>
    <w:p>
      <w:pPr>
        <w:pStyle w:val="Style31"/>
        <w:numPr>
          <w:ilvl w:val="0"/>
          <w:numId w:val="2"/>
        </w:numPr>
        <w:rPr/>
      </w:pPr>
      <w:r>
        <w:rPr/>
        <w:t>Визуализированная ссылка публичной версии МГС в виде векторного изображения – «кнопки» для дальнейшей публикации на сайте;</w:t>
      </w:r>
    </w:p>
    <w:p>
      <w:pPr>
        <w:pStyle w:val="Style31"/>
        <w:numPr>
          <w:ilvl w:val="0"/>
          <w:numId w:val="2"/>
        </w:numPr>
        <w:rPr/>
      </w:pPr>
      <w:r>
        <w:rPr/>
        <w:t>QR-код для удобства публикации МГС;</w:t>
      </w:r>
    </w:p>
    <w:p>
      <w:pPr>
        <w:pStyle w:val="Style31"/>
        <w:numPr>
          <w:ilvl w:val="0"/>
          <w:numId w:val="2"/>
        </w:numPr>
        <w:rPr/>
      </w:pPr>
      <w:r>
        <w:rPr/>
        <w:t>Обучающая видеоинструкция (видеоролик) в электронном виде в формате (.mp4) по использованию МГС.</w:t>
      </w:r>
    </w:p>
    <w:p>
      <w:pPr>
        <w:pStyle w:val="Normal"/>
        <w:rPr/>
      </w:pPr>
      <w:r>
        <w:rPr/>
      </w:r>
    </w:p>
    <w:p>
      <w:pPr>
        <w:pStyle w:val="1"/>
        <w:rPr/>
      </w:pPr>
      <w:bookmarkStart w:id="6" w:name="_Toc158814551"/>
      <w:r>
        <w:rPr/>
        <w:t>«Схема водоснабжения»</w:t>
      </w:r>
      <w:bookmarkEnd w:id="6"/>
    </w:p>
    <w:p>
      <w:pPr>
        <w:pStyle w:val="2"/>
        <w:pageBreakBefore w:val="false"/>
        <w:rPr/>
      </w:pPr>
      <w:bookmarkStart w:id="7" w:name="_Toc158814552"/>
      <w:r>
        <w:rPr/>
        <w:t>Технико-экономическое состояние централизованных систем водоснабжения поселения, городского округа</w:t>
      </w:r>
      <w:bookmarkEnd w:id="7"/>
    </w:p>
    <w:p>
      <w:pPr>
        <w:pStyle w:val="3"/>
        <w:rPr/>
      </w:pPr>
      <w:bookmarkStart w:id="8" w:name="_Toc158814553"/>
      <w:bookmarkStart w:id="9" w:name="_Описание_системы_и"/>
      <w:bookmarkEnd w:id="9"/>
      <w:r>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8"/>
    </w:p>
    <w:p>
      <w:pPr>
        <w:pStyle w:val="Normal"/>
        <w:rPr/>
      </w:pPr>
      <w:r>
        <w:rPr/>
        <w:t>В соответствии с пунктом 1 статьи 31 главы 6 [</w:t>
      </w:r>
      <w:r>
        <w:rPr/>
        <w:fldChar w:fldCharType="begin"/>
      </w:r>
      <w:r>
        <w:rPr/>
        <w:instrText xml:space="preserve"> REF _Ref154925037 \n \h </w:instrText>
      </w:r>
      <w:r>
        <w:rPr/>
        <w:fldChar w:fldCharType="separate"/>
      </w:r>
      <w:r>
        <w:rPr/>
        <w:t>2</w:t>
      </w:r>
      <w:r>
        <w:rPr/>
        <w:fldChar w:fldCharType="end"/>
      </w:r>
      <w:r>
        <w:rPr/>
        <w:t>], к регулируемым видам деятельности в сфере холодного водоснабжения относятся:</w:t>
      </w:r>
    </w:p>
    <w:p>
      <w:pPr>
        <w:pStyle w:val="Style31"/>
        <w:numPr>
          <w:ilvl w:val="0"/>
          <w:numId w:val="74"/>
        </w:numPr>
        <w:rPr/>
      </w:pPr>
      <w:r>
        <w:rPr/>
        <w:t>холодное водоснабжение, в том числе:</w:t>
      </w:r>
    </w:p>
    <w:p>
      <w:pPr>
        <w:pStyle w:val="Style31"/>
        <w:numPr>
          <w:ilvl w:val="1"/>
          <w:numId w:val="2"/>
        </w:numPr>
        <w:rPr/>
      </w:pPr>
      <w:r>
        <w:rPr/>
        <w:t>транспортировка воды, включая распределение воды;</w:t>
      </w:r>
    </w:p>
    <w:p>
      <w:pPr>
        <w:pStyle w:val="Style31"/>
        <w:numPr>
          <w:ilvl w:val="1"/>
          <w:numId w:val="2"/>
        </w:numPr>
        <w:rPr/>
      </w:pPr>
      <w:r>
        <w:rPr/>
        <w:t>подвоз воды в случаях, установленных частью 3 настоящей статьи;</w:t>
      </w:r>
    </w:p>
    <w:p>
      <w:pPr>
        <w:pStyle w:val="Style31"/>
        <w:numPr>
          <w:ilvl w:val="0"/>
          <w:numId w:val="2"/>
        </w:numPr>
        <w:rPr/>
      </w:pPr>
      <w:r>
        <w:rPr/>
        <w:t>подключение (технологическое присоединение) к централизованной системе водоснабжения.</w:t>
      </w:r>
    </w:p>
    <w:p>
      <w:pPr>
        <w:pStyle w:val="Normal"/>
        <w:rPr/>
      </w:pPr>
      <w:r>
        <w:rPr/>
        <w:t xml:space="preserve">Перечень организаций ВКХ, осуществляющих регулируемые виды деятельности в сфере холодного водоснабжения, представлен в таблице </w:t>
      </w:r>
      <w:r>
        <w:rPr/>
        <w:fldChar w:fldCharType="begin"/>
      </w:r>
      <w:r>
        <w:rPr/>
        <w:instrText xml:space="preserve"> REF _Ref155280375 \h </w:instrText>
      </w:r>
      <w:r>
        <w:rPr/>
        <w:fldChar w:fldCharType="separate"/>
      </w:r>
      <w:r>
        <w:rPr/>
        <w:t>Таблица 1.1.1</w:t>
      </w:r>
      <w:r>
        <w:rPr/>
        <w:fldChar w:fldCharType="end"/>
      </w:r>
      <w:r>
        <w:rPr/>
        <w:t xml:space="preserve">. </w:t>
      </w:r>
    </w:p>
    <w:p>
      <w:pPr>
        <w:pStyle w:val="Style34"/>
        <w:rPr/>
      </w:pPr>
      <w:bookmarkStart w:id="10" w:name="_Ref155280375"/>
      <w:bookmarkStart w:id="11" w:name="_Ref155283156"/>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1</w:t>
      </w:r>
      <w:r>
        <w:rPr/>
        <w:fldChar w:fldCharType="end"/>
      </w:r>
      <w:bookmarkEnd w:id="10"/>
      <w:r>
        <w:rPr/>
        <w:t xml:space="preserve"> – Перечень организаций ВКХ, осуществляющих регулируемые виды деятельности в сфере холодного водоснабжения</w:t>
      </w:r>
      <w:bookmarkEnd w:id="11"/>
    </w:p>
    <w:tbl>
      <w:tblPr>
        <w:tblW w:w="9345"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390"/>
        <w:gridCol w:w="2175"/>
        <w:gridCol w:w="1683"/>
        <w:gridCol w:w="1056"/>
        <w:gridCol w:w="1980"/>
        <w:gridCol w:w="2060"/>
      </w:tblGrid>
      <w:tr>
        <w:trPr>
          <w:tblHeader w:val="true"/>
          <w:trHeight w:val="20" w:hRule="atLeast"/>
          <w:cantSplit w:val="true"/>
        </w:trPr>
        <w:tc>
          <w:tcPr>
            <w:tcW w:w="3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1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Полное наименование организации ВКХ</w:t>
            </w:r>
          </w:p>
        </w:tc>
        <w:tc>
          <w:tcPr>
            <w:tcW w:w="168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Сокращенное наименование</w:t>
            </w:r>
          </w:p>
        </w:tc>
        <w:tc>
          <w:tcPr>
            <w:tcW w:w="105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ИНН</w:t>
            </w:r>
          </w:p>
        </w:tc>
        <w:tc>
          <w:tcPr>
            <w:tcW w:w="19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Юридический адрес</w:t>
            </w:r>
          </w:p>
        </w:tc>
        <w:tc>
          <w:tcPr>
            <w:tcW w:w="206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Виды осуществляемой регулируемой деятельности в сфере водоснабжения</w:t>
            </w:r>
          </w:p>
        </w:tc>
      </w:tr>
      <w:tr>
        <w:trPr>
          <w:tblHeader w:val="true"/>
          <w:trHeight w:val="20" w:hRule="atLeast"/>
          <w:cantSplit w:val="true"/>
        </w:trPr>
        <w:tc>
          <w:tcPr>
            <w:tcW w:w="39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68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9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0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r>
      <w:tr>
        <w:trPr>
          <w:trHeight w:val="20" w:hRule="atLeast"/>
          <w:cantSplit w:val="true"/>
        </w:trPr>
        <w:tc>
          <w:tcPr>
            <w:tcW w:w="39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«Водоснабжение»</w:t>
            </w:r>
          </w:p>
        </w:tc>
        <w:tc>
          <w:tcPr>
            <w:tcW w:w="168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«Водоснабжение»</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4202023801</w:t>
            </w:r>
          </w:p>
        </w:tc>
        <w:tc>
          <w:tcPr>
            <w:tcW w:w="19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652600, 42 42, город Белово, 2-я Рабочая ул.</w:t>
            </w:r>
          </w:p>
        </w:tc>
        <w:tc>
          <w:tcPr>
            <w:tcW w:w="20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Холодное водоснабжение, в том числе транспортировка воды, включая распределение воды</w:t>
            </w:r>
          </w:p>
        </w:tc>
      </w:tr>
      <w:tr>
        <w:trPr>
          <w:trHeight w:val="20" w:hRule="atLeast"/>
          <w:cantSplit w:val="true"/>
        </w:trPr>
        <w:tc>
          <w:tcPr>
            <w:tcW w:w="39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1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Муниципальное унитарное предприятие «Водоканал» Беловского городского округа</w:t>
            </w:r>
          </w:p>
        </w:tc>
        <w:tc>
          <w:tcPr>
            <w:tcW w:w="168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МУП «Водоканал»</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4202043124</w:t>
            </w:r>
          </w:p>
        </w:tc>
        <w:tc>
          <w:tcPr>
            <w:tcW w:w="19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652617, Кемеровская область, город Белово, пгт. Грамотеино, Колмогоровская ул., д.12</w:t>
            </w:r>
          </w:p>
        </w:tc>
        <w:tc>
          <w:tcPr>
            <w:tcW w:w="20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Холодное водоснабжение, в том числе транспортировка воды, включая распределение воды</w:t>
            </w:r>
          </w:p>
        </w:tc>
      </w:tr>
      <w:tr>
        <w:trPr>
          <w:trHeight w:val="20" w:hRule="atLeast"/>
          <w:cantSplit w:val="true"/>
        </w:trPr>
        <w:tc>
          <w:tcPr>
            <w:tcW w:w="39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1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«Энергокомпания»</w:t>
            </w:r>
          </w:p>
        </w:tc>
        <w:tc>
          <w:tcPr>
            <w:tcW w:w="168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«ЭК»</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4202044463</w:t>
            </w:r>
          </w:p>
        </w:tc>
        <w:tc>
          <w:tcPr>
            <w:tcW w:w="19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652642, 42 42, пгт. Бачатский, Комсомольская ул., д. 10</w:t>
            </w:r>
          </w:p>
        </w:tc>
        <w:tc>
          <w:tcPr>
            <w:tcW w:w="20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Холодное водоснабжение, в том числе транспортировка воды, включая распределение воды</w:t>
            </w:r>
          </w:p>
        </w:tc>
      </w:tr>
    </w:tbl>
    <w:p>
      <w:pPr>
        <w:pStyle w:val="Normal"/>
        <w:rPr/>
      </w:pPr>
      <w:r>
        <w:rPr/>
        <w:t>В соответствии с пунктом 4 статьи 31 главы 6 [</w:t>
      </w:r>
      <w:r>
        <w:rPr/>
        <w:fldChar w:fldCharType="begin"/>
      </w:r>
      <w:r>
        <w:rPr/>
        <w:instrText xml:space="preserve"> REF _Ref154925037 \n \h </w:instrText>
      </w:r>
      <w:r>
        <w:rPr/>
        <w:fldChar w:fldCharType="separate"/>
      </w:r>
      <w:r>
        <w:rPr/>
        <w:t>2</w:t>
      </w:r>
      <w:r>
        <w:rPr/>
        <w:fldChar w:fldCharType="end"/>
      </w:r>
      <w:r>
        <w:rPr/>
        <w:t>], к регулируемым видам деятельности в сфере горячего водоснабжения при осуществлении горячего водоснабжения с использованием закрытых систем горячего водоснабжения относятся:</w:t>
      </w:r>
    </w:p>
    <w:p>
      <w:pPr>
        <w:pStyle w:val="Style31"/>
        <w:numPr>
          <w:ilvl w:val="0"/>
          <w:numId w:val="75"/>
        </w:numPr>
        <w:rPr/>
      </w:pPr>
      <w:r>
        <w:rPr/>
        <w:t>горячее водоснабжение, в том числе:</w:t>
      </w:r>
    </w:p>
    <w:p>
      <w:pPr>
        <w:pStyle w:val="Style31"/>
        <w:numPr>
          <w:ilvl w:val="1"/>
          <w:numId w:val="2"/>
        </w:numPr>
        <w:rPr/>
      </w:pPr>
      <w:r>
        <w:rPr/>
        <w:t>приготовление воды на нужды горячего водоснабжения;</w:t>
      </w:r>
    </w:p>
    <w:p>
      <w:pPr>
        <w:pStyle w:val="Style31"/>
        <w:numPr>
          <w:ilvl w:val="1"/>
          <w:numId w:val="2"/>
        </w:numPr>
        <w:rPr/>
      </w:pPr>
      <w:r>
        <w:rPr/>
        <w:t>транспортировка горячей воды;</w:t>
      </w:r>
    </w:p>
    <w:p>
      <w:pPr>
        <w:pStyle w:val="Style31"/>
        <w:numPr>
          <w:ilvl w:val="0"/>
          <w:numId w:val="2"/>
        </w:numPr>
        <w:rPr/>
      </w:pPr>
      <w:r>
        <w:rPr/>
        <w:t>подключение (технологическое присоединение) к централизованной системе горячего водоснабжения.</w:t>
      </w:r>
    </w:p>
    <w:p>
      <w:pPr>
        <w:pStyle w:val="Normal"/>
        <w:rPr/>
      </w:pPr>
      <w:r>
        <w:rPr/>
        <w:t xml:space="preserve">Перечень теплоснабжающих (теплосетевых) организаций, осуществляющих регулируемые виды деятельности в сфере горячего водоснабжения с использованием закрытых систем горячего водоснабжения, представлен в таблице </w:t>
      </w:r>
      <w:r>
        <w:rPr/>
        <w:fldChar w:fldCharType="begin"/>
      </w:r>
      <w:r>
        <w:rPr/>
        <w:instrText xml:space="preserve"> REF _Ref155284409 \h </w:instrText>
      </w:r>
      <w:r>
        <w:rPr/>
        <w:fldChar w:fldCharType="separate"/>
      </w:r>
      <w:r>
        <w:rPr/>
        <w:t>Таблица 1.1.2</w:t>
      </w:r>
      <w:r>
        <w:rPr/>
        <w:fldChar w:fldCharType="end"/>
      </w:r>
      <w:r>
        <w:rPr/>
        <w:t xml:space="preserve">. </w:t>
      </w:r>
    </w:p>
    <w:p>
      <w:pPr>
        <w:pStyle w:val="Style34"/>
        <w:rPr/>
      </w:pPr>
      <w:bookmarkStart w:id="12" w:name="_Ref155284409"/>
      <w:bookmarkStart w:id="13" w:name="_Ref155284423"/>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2</w:t>
      </w:r>
      <w:r>
        <w:rPr/>
        <w:fldChar w:fldCharType="end"/>
      </w:r>
      <w:bookmarkEnd w:id="12"/>
      <w:r>
        <w:rPr/>
        <w:t xml:space="preserve"> – Перечень теплоснабжающих (теплосетевых) организаций, осуществляющих регулируемые виды деятельности в сфере горячего водоснабжения с использованием закрытых систем горячего водоснабжения</w:t>
      </w:r>
      <w:bookmarkEnd w:id="13"/>
    </w:p>
    <w:tbl>
      <w:tblPr>
        <w:tblW w:w="9345"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394"/>
        <w:gridCol w:w="2005"/>
        <w:gridCol w:w="1705"/>
        <w:gridCol w:w="1056"/>
        <w:gridCol w:w="1576"/>
        <w:gridCol w:w="2608"/>
      </w:tblGrid>
      <w:tr>
        <w:trPr>
          <w:tblHeader w:val="true"/>
          <w:trHeight w:val="20" w:hRule="atLeast"/>
          <w:cantSplit w:val="true"/>
        </w:trPr>
        <w:tc>
          <w:tcPr>
            <w:tcW w:w="3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00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Полное наименование организации ВКХ</w:t>
            </w:r>
          </w:p>
        </w:tc>
        <w:tc>
          <w:tcPr>
            <w:tcW w:w="170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Сокращенное наименование</w:t>
            </w:r>
          </w:p>
        </w:tc>
        <w:tc>
          <w:tcPr>
            <w:tcW w:w="105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ИНН</w:t>
            </w:r>
          </w:p>
        </w:tc>
        <w:tc>
          <w:tcPr>
            <w:tcW w:w="157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Юридический адрес</w:t>
            </w:r>
          </w:p>
        </w:tc>
        <w:tc>
          <w:tcPr>
            <w:tcW w:w="260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Виды осуществляемой регулируемой деятельности в сфере горячего водоснабжения с использованием закрытых систем горячего водоснабжения</w:t>
            </w:r>
          </w:p>
        </w:tc>
      </w:tr>
      <w:tr>
        <w:trPr>
          <w:tblHeader w:val="true"/>
          <w:trHeight w:val="20" w:hRule="atLeast"/>
          <w:cantSplit w:val="true"/>
        </w:trPr>
        <w:tc>
          <w:tcPr>
            <w:tcW w:w="3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7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5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6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r>
      <w:tr>
        <w:trPr>
          <w:trHeight w:val="20" w:hRule="atLeast"/>
          <w:cantSplit w:val="true"/>
        </w:trPr>
        <w:tc>
          <w:tcPr>
            <w:tcW w:w="3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«Теплоэнергетик»</w:t>
            </w:r>
          </w:p>
        </w:tc>
        <w:tc>
          <w:tcPr>
            <w:tcW w:w="17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«Теплоэнергетик»</w:t>
            </w:r>
          </w:p>
        </w:tc>
        <w:tc>
          <w:tcPr>
            <w:tcW w:w="10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4202030492</w:t>
            </w:r>
          </w:p>
        </w:tc>
        <w:tc>
          <w:tcPr>
            <w:tcW w:w="15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652600, 42 42, г Белово, Аэродромная ул, д. 2в к. 1</w:t>
            </w:r>
          </w:p>
        </w:tc>
        <w:tc>
          <w:tcPr>
            <w:tcW w:w="26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Горячее водоснабжение, в том числе приготовление воды на нужды горячего водоснабжения, транспортировка горячей воды</w:t>
            </w:r>
          </w:p>
        </w:tc>
      </w:tr>
    </w:tbl>
    <w:p>
      <w:pPr>
        <w:pStyle w:val="Normal"/>
        <w:rPr/>
      </w:pPr>
      <w:r>
        <w:rPr/>
        <w:t xml:space="preserve">В таблице </w:t>
      </w:r>
      <w:r>
        <w:rPr/>
        <w:fldChar w:fldCharType="begin"/>
      </w:r>
      <w:r>
        <w:rPr/>
        <w:instrText xml:space="preserve"> REF _Ref155284423 \p \h </w:instrText>
      </w:r>
      <w:r>
        <w:rPr/>
        <w:fldChar w:fldCharType="separate"/>
      </w:r>
      <w:r>
        <w:rPr/>
        <w:t>выше</w:t>
      </w:r>
      <w:r>
        <w:rPr/>
        <w:fldChar w:fldCharType="end"/>
      </w:r>
      <w:r>
        <w:rPr/>
        <w:t xml:space="preserve"> приведены теплоснабжающие (теплосетевые) организации, осуществляющие регулируемые виды деятельности в сфере горячего водоснабжения при осуществлении горячего водоснабжения с использованием закрытых систем горячего водоснабжения. Кроме ООО «Теплоэнергетик» на территории Беловского ГО функционируют следующие теплоснабжающие (теплосетевые) организации:</w:t>
      </w:r>
    </w:p>
    <w:p>
      <w:pPr>
        <w:pStyle w:val="Style31"/>
        <w:numPr>
          <w:ilvl w:val="0"/>
          <w:numId w:val="76"/>
        </w:numPr>
        <w:rPr/>
      </w:pPr>
      <w:r>
        <w:rPr/>
        <w:t>Кузбасское Акционерное общество энергетики и электрификации (АО «Кузбассэнерго», ИНН: 4200000333);</w:t>
      </w:r>
    </w:p>
    <w:p>
      <w:pPr>
        <w:pStyle w:val="Style31"/>
        <w:numPr>
          <w:ilvl w:val="0"/>
          <w:numId w:val="2"/>
        </w:numPr>
        <w:rPr/>
      </w:pPr>
      <w:r>
        <w:rPr/>
        <w:t>ООО «ЭК»;</w:t>
      </w:r>
    </w:p>
    <w:p>
      <w:pPr>
        <w:pStyle w:val="Style31"/>
        <w:numPr>
          <w:ilvl w:val="0"/>
          <w:numId w:val="2"/>
        </w:numPr>
        <w:rPr/>
      </w:pPr>
      <w:r>
        <w:rPr/>
        <w:t xml:space="preserve">общество с ограниченной ответственностью «ТВК» (ООО «ТВК», ИНН: 4202026697). </w:t>
      </w:r>
    </w:p>
    <w:p>
      <w:pPr>
        <w:pStyle w:val="Normal"/>
        <w:rPr/>
      </w:pPr>
      <w:r>
        <w:rPr/>
        <w:t xml:space="preserve">Источники тепловой энергии в зонах эксплуатационной ответственности АО «Кузбассэнерго», ООО «ЭК» и ООО «ТВК» осуществляют горячее водоснабжение абонентов по открытой системе теплоснабжения. Подробное описание централизованных систем горячего водоснабжения с использованием закрытых систем горячего водоснабжения приведено ниже в составе </w:t>
      </w:r>
      <w:hyperlink w:anchor="_Описание_централизованной_системы">
        <w:r>
          <w:rPr>
            <w:rStyle w:val="-"/>
          </w:rPr>
          <w:t>пункта 1.1.4.6</w:t>
        </w:r>
      </w:hyperlink>
      <w:r>
        <w:rPr/>
        <w:t xml:space="preserve">. </w:t>
      </w:r>
    </w:p>
    <w:p>
      <w:pPr>
        <w:pStyle w:val="Normal"/>
        <w:rPr/>
      </w:pPr>
      <w:r>
        <w:rPr/>
        <w:t>Статьей 2 главы 1 [</w:t>
      </w:r>
      <w:r>
        <w:rPr/>
        <w:fldChar w:fldCharType="begin"/>
      </w:r>
      <w:r>
        <w:rPr/>
        <w:instrText xml:space="preserve"> REF _Ref154925037 \n \h </w:instrText>
      </w:r>
      <w:r>
        <w:rPr/>
        <w:fldChar w:fldCharType="separate"/>
      </w:r>
      <w:r>
        <w:rPr/>
        <w:t>2</w:t>
      </w:r>
      <w:r>
        <w:rPr/>
        <w:fldChar w:fldCharType="end"/>
      </w:r>
      <w:r>
        <w:rPr/>
        <w:t>] дано следующее определение:</w:t>
      </w:r>
    </w:p>
    <w:p>
      <w:pPr>
        <w:pStyle w:val="ListParagraph"/>
        <w:numPr>
          <w:ilvl w:val="0"/>
          <w:numId w:val="8"/>
        </w:numPr>
        <w:ind w:left="993" w:hanging="284"/>
        <w:rPr/>
      </w:pPr>
      <w:r>
        <w:rPr/>
        <w:t xml:space="preserve">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 </w:t>
      </w:r>
    </w:p>
    <w:p>
      <w:pPr>
        <w:pStyle w:val="Normal"/>
        <w:rPr/>
      </w:pPr>
      <w:r>
        <w:rPr/>
        <w:t xml:space="preserve">Пунктом 2 </w:t>
      </w:r>
      <w:r>
        <w:rPr>
          <w:lang w:val="en-US"/>
        </w:rPr>
        <w:t>[</w:t>
      </w:r>
      <w:r>
        <w:rPr>
          <w:lang w:val="en-US"/>
        </w:rPr>
        <w:fldChar w:fldCharType="begin"/>
      </w:r>
      <w:r>
        <w:rPr>
          <w:lang w:val="en-US"/>
        </w:rPr>
        <w:instrText xml:space="preserve"> REF _Ref154925043 \n \h </w:instrText>
      </w:r>
      <w:r>
        <w:rPr>
          <w:lang w:val="en-US"/>
        </w:rPr>
        <w:fldChar w:fldCharType="separate"/>
      </w:r>
      <w:r>
        <w:rPr>
          <w:lang w:val="en-US"/>
        </w:rPr>
        <w:t>3</w:t>
      </w:r>
      <w:r>
        <w:rPr>
          <w:lang w:val="en-US"/>
        </w:rPr>
        <w:fldChar w:fldCharType="end"/>
      </w:r>
      <w:r>
        <w:rPr>
          <w:lang w:val="en-US"/>
        </w:rPr>
        <w:t>]</w:t>
      </w:r>
      <w:r>
        <w:rPr/>
        <w:t xml:space="preserve"> введено следующее понятие: </w:t>
      </w:r>
    </w:p>
    <w:p>
      <w:pPr>
        <w:pStyle w:val="ListParagraph"/>
        <w:numPr>
          <w:ilvl w:val="0"/>
          <w:numId w:val="9"/>
        </w:numPr>
        <w:ind w:left="993" w:hanging="284"/>
        <w:rPr/>
      </w:pPr>
      <w:r>
        <w:rPr/>
        <w:t xml:space="preserve">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 </w:t>
      </w:r>
    </w:p>
    <w:p>
      <w:pPr>
        <w:pStyle w:val="Normal"/>
        <w:rPr/>
      </w:pPr>
      <w:r>
        <w:rPr/>
        <w:t xml:space="preserve">На территории Беловского ГО определены 3 эксплуатационные зоны, описание которых приведено ниже. </w:t>
      </w:r>
    </w:p>
    <w:p>
      <w:pPr>
        <w:sectPr>
          <w:footerReference w:type="default" r:id="rId4"/>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 xml:space="preserve">Структура ЦС ХВС в эксплуатационной зоне ООО «Водоснабжение» представлена на рисунке </w:t>
      </w:r>
      <w:r>
        <w:rPr/>
        <w:fldChar w:fldCharType="begin"/>
      </w:r>
      <w:r>
        <w:rPr/>
        <w:instrText xml:space="preserve"> REF _Ref155462550 \h </w:instrText>
      </w:r>
      <w:r>
        <w:rPr/>
        <w:fldChar w:fldCharType="separate"/>
      </w:r>
      <w:r>
        <w:rPr/>
        <w:t>Рисунок 1.1.1</w:t>
      </w:r>
      <w:r>
        <w:rPr/>
        <w:fldChar w:fldCharType="end"/>
      </w:r>
      <w:r>
        <w:rPr/>
        <w:t xml:space="preserve">. </w:t>
      </w:r>
    </w:p>
    <w:p>
      <w:pPr>
        <w:pStyle w:val="Style26"/>
        <w:rPr/>
      </w:pPr>
      <w:r>
        <w:rPr/>
        <w:drawing>
          <wp:inline distT="0" distB="0" distL="0" distR="0">
            <wp:extent cx="7776210" cy="5613400"/>
            <wp:effectExtent l="0" t="0" r="0" b="0"/>
            <wp:docPr id="3"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
                    <pic:cNvPicPr>
                      <a:picLocks noChangeAspect="1" noChangeArrowheads="1"/>
                    </pic:cNvPicPr>
                  </pic:nvPicPr>
                  <pic:blipFill>
                    <a:blip r:embed="rId5"/>
                    <a:stretch>
                      <a:fillRect/>
                    </a:stretch>
                  </pic:blipFill>
                  <pic:spPr bwMode="auto">
                    <a:xfrm>
                      <a:off x="0" y="0"/>
                      <a:ext cx="7776210" cy="5613400"/>
                    </a:xfrm>
                    <a:prstGeom prst="rect">
                      <a:avLst/>
                    </a:prstGeom>
                  </pic:spPr>
                </pic:pic>
              </a:graphicData>
            </a:graphic>
          </wp:inline>
        </w:drawing>
      </w:r>
    </w:p>
    <w:p>
      <w:pPr>
        <w:sectPr>
          <w:footerReference w:type="default" r:id="rId6"/>
          <w:footerReference w:type="first" r:id="rId7"/>
          <w:type w:val="nextPage"/>
          <w:pgSz w:orient="landscape" w:w="16838" w:h="11906"/>
          <w:pgMar w:left="1134" w:right="1134" w:gutter="0" w:header="0" w:top="1701" w:footer="708" w:bottom="850"/>
          <w:pgNumType w:fmt="decimal"/>
          <w:formProt w:val="false"/>
          <w:textDirection w:val="lrTb"/>
          <w:docGrid w:type="default" w:linePitch="360" w:charSpace="0"/>
        </w:sectPr>
        <w:pStyle w:val="Caption"/>
        <w:rPr/>
      </w:pPr>
      <w:bookmarkStart w:id="14" w:name="_Ref155462550"/>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1</w:t>
      </w:r>
      <w:r>
        <w:rPr/>
        <w:fldChar w:fldCharType="end"/>
      </w:r>
      <w:bookmarkEnd w:id="14"/>
      <w:r>
        <w:rPr/>
        <w:t xml:space="preserve"> – Структура ЦС ХВС в эксплуатационной зоне ООО «Водоснабжение»</w:t>
      </w:r>
    </w:p>
    <w:p>
      <w:pPr>
        <w:pStyle w:val="Normal"/>
        <w:rPr/>
      </w:pPr>
      <w:r>
        <w:rPr/>
        <w:t>ООО «Водоснабжение» осуществляет забор исходной воды из водозаборных скважин четырех комплексов водозаборных сооружений: Уропского, Инского, Каменского, Хахалинского.</w:t>
      </w:r>
    </w:p>
    <w:p>
      <w:pPr>
        <w:pStyle w:val="Normal"/>
        <w:rPr/>
      </w:pPr>
      <w:r>
        <w:rPr/>
        <w:t xml:space="preserve">Основные характеристики водозаборных скважин, находящихся в эксплуатационной зоне ООО «Водоснабжение», приведено ниже в составе </w:t>
      </w:r>
      <w:hyperlink w:anchor="_Описание_состояния_существующих">
        <w:r>
          <w:rPr>
            <w:rStyle w:val="-"/>
          </w:rPr>
          <w:t>пункта 1.1.4.1</w:t>
        </w:r>
      </w:hyperlink>
      <w:r>
        <w:rPr/>
        <w:t xml:space="preserve">. </w:t>
      </w:r>
    </w:p>
    <w:p>
      <w:pPr>
        <w:pStyle w:val="Normal"/>
        <w:rPr/>
      </w:pPr>
      <w:r>
        <w:rPr/>
        <w:t>Исходная вода, добываемая из водозаборных скважин №№ 1-ц, 3-ц, 3, 9, 7, 27, 11 по системе водопроводов поступает в РдВ объемом 250 м</w:t>
      </w:r>
      <w:r>
        <w:rPr>
          <w:vertAlign w:val="superscript"/>
        </w:rPr>
        <w:t>3</w:t>
      </w:r>
      <w:r>
        <w:rPr/>
        <w:t>, расположенный на насосной станции подкачки №3 (с. Пермяки), и далее насосным агрегатом ЦН 400-105 транспортируется по магистральному водоводу Ду=500 мм и протяженностью 8 км в РдВ объемом 500 м</w:t>
      </w:r>
      <w:r>
        <w:rPr>
          <w:vertAlign w:val="superscript"/>
        </w:rPr>
        <w:t>3</w:t>
      </w:r>
      <w:r>
        <w:rPr/>
        <w:t>, расположенный на насосной станции II подъема «Худяки». В этот же РдВ принимается вода от водозаборных скважин №№ 10, 20-р, 29, 21 и 15. С насосной станции «Худяки» насосным агрегатом ЦН 1000-180 вода по магистральному водоводу Ду=500 мм и протяженностью 13,4 км транспортируется в РдВ объемом 1000 м</w:t>
      </w:r>
      <w:r>
        <w:rPr>
          <w:vertAlign w:val="superscript"/>
        </w:rPr>
        <w:t>3</w:t>
      </w:r>
      <w:r>
        <w:rPr/>
        <w:t>, находящийся на насосной станции гидроузла №2 «Уроп». В данный водопровод, на участке между насосной станции II подъема «Худяки» и гидроузлом №2 «Уроп», поступает исходная вода, добываемая из водозаборных скважин №№ 138а, 166, 166б и 170.</w:t>
      </w:r>
    </w:p>
    <w:p>
      <w:pPr>
        <w:pStyle w:val="Normal"/>
        <w:rPr/>
      </w:pPr>
      <w:r>
        <w:rPr/>
        <w:t>Кроме того, по системе водопроводов в РдВ гидроузла №2 подается вода, добываемая из водозаборных скважин №№ 205а, 169а, 169, 139б, 139а,138, 168а (168), 197а, 192а, 137, 4-б, 3-б, 5-б, 6-б.</w:t>
      </w:r>
    </w:p>
    <w:p>
      <w:pPr>
        <w:pStyle w:val="Normal"/>
        <w:rPr/>
      </w:pPr>
      <w:r>
        <w:rPr/>
        <w:t>Насосным агрегатом Д 2000</w:t>
        <w:noBreakHyphen/>
        <w:t>100 весь объем добытой воды перекачивается из гидроузла №2 «Уроп» по магистральному водопроводу Ду=700 мм и протяженностью 25,9 км в РдВ (всего 4 шт.: 15 000 м</w:t>
      </w:r>
      <w:r>
        <w:rPr>
          <w:vertAlign w:val="superscript"/>
        </w:rPr>
        <w:t>3</w:t>
      </w:r>
      <w:r>
        <w:rPr/>
        <w:t xml:space="preserve"> – 2 шт., 7 000 м</w:t>
      </w:r>
      <w:r>
        <w:rPr>
          <w:vertAlign w:val="superscript"/>
        </w:rPr>
        <w:t>3</w:t>
      </w:r>
      <w:r>
        <w:rPr/>
        <w:t xml:space="preserve"> – 2 шт.), расположенные на гидроузле №7. На расстоянии 5,3 км от гидроузла №2 «Уроп» на магистральном водопроводе Ду=700 мм находится транзитная станция подкачки №1 с насосными агрегатами Д 2000</w:t>
        <w:noBreakHyphen/>
        <w:t>100, которая включается в работу периодически, при пиковом водоразборе в засушливый период. Кроме того, непосредственно в данный водопровод принимается вода из водозаборных скважин №№ 2-х, 4, 4-а, 4-б, 4-в, 3 и 6, а также производится отбор воды абонентам мкр. Инской и еще части абонентов.</w:t>
      </w:r>
    </w:p>
    <w:p>
      <w:pPr>
        <w:pStyle w:val="Normal"/>
        <w:rPr/>
      </w:pPr>
      <w:r>
        <w:rPr/>
        <w:t>Необходимость наличия ранее указанных насосных станций связана со сложным рельефом местности на участке: насосная станция подкачки №3 (с. Пермяки) – насосная станция II подъема «Худяки» – гидроузел №2 «Уроп» – гидроузел №7.</w:t>
      </w:r>
    </w:p>
    <w:p>
      <w:pPr>
        <w:pStyle w:val="Normal"/>
        <w:rPr/>
      </w:pPr>
      <w:r>
        <w:rPr/>
        <w:t>С гидроузла №7 производится подача воды по разводящим магистральным водопроводам:</w:t>
      </w:r>
    </w:p>
    <w:p>
      <w:pPr>
        <w:pStyle w:val="Style31"/>
        <w:numPr>
          <w:ilvl w:val="0"/>
          <w:numId w:val="77"/>
        </w:numPr>
        <w:rPr/>
      </w:pPr>
      <w:r>
        <w:rPr/>
        <w:t>по водопроводу Ду=400 мм от гидроузла №7 до 3 мкр. – абонентам 3 мкр., 4 мкр., 6 мкр., квартала Сосновый;</w:t>
      </w:r>
    </w:p>
    <w:p>
      <w:pPr>
        <w:pStyle w:val="Style31"/>
        <w:numPr>
          <w:ilvl w:val="0"/>
          <w:numId w:val="78"/>
        </w:numPr>
        <w:rPr/>
      </w:pPr>
      <w:r>
        <w:rPr/>
        <w:t>на центральную часть города «самотеком» по двум магистральным водоводам Ду=500 мм – «левая» и «правая» нитки водопроводов. Из «правой» нитки производится отбор воды абонентам центральной части города и частичная подпитка емкостей (РдВ) гидроузла №3. По «левой» нитке вода подается в РдВ (2000 м</w:t>
      </w:r>
      <w:r>
        <w:rPr>
          <w:vertAlign w:val="superscript"/>
        </w:rPr>
        <w:t>3</w:t>
      </w:r>
      <w:r>
        <w:rPr/>
        <w:t xml:space="preserve"> – 2 шт.) гидроузла №3, потребителями центральной части города, а также по магистральному водоводу Ду=400 мм абонентам п. Бабанаково, мкр. 2 Калтайка, мкр. 8 Марта, мкр. Телеут, мкр. Чертинский. Из РдВ гидроузла №3 вода насосными агрегатами подается по разводящим водопроводным сетям абонентам частного жилого сектора и является резервным водоводом на 3 мкр., 4 мкр., 6 мкр., квартал Сосновый; применение насосных агрегатов на гидроузле №3 связано с особенностями рельефа местности, делающей невозможной создание необходимого располагаемого напора в точках присоединения потребителей при применении самотечной схемы водоснабжения;</w:t>
      </w:r>
    </w:p>
    <w:p>
      <w:pPr>
        <w:pStyle w:val="Style31"/>
        <w:numPr>
          <w:ilvl w:val="0"/>
          <w:numId w:val="2"/>
        </w:numPr>
        <w:rPr/>
      </w:pPr>
      <w:r>
        <w:rPr/>
        <w:t>на пгт. Новый Городок насосным агрегатом вода по магистральному водоводу Ду=500 мм подается в РдВ гидроузла №5, расположенного в пгт. Новый Городок.</w:t>
      </w:r>
    </w:p>
    <w:p>
      <w:pPr>
        <w:pStyle w:val="Normal"/>
        <w:rPr/>
      </w:pPr>
      <w:r>
        <w:rPr/>
        <w:t>На участке гидроузел №7 – гидроузел №5 из данного водопровода осуществляется отбор воды ряду абонентов: с. Вишневка, мкр. Бабанаково, совхоз «Ильич», мкр. Чертинский. Из РдВ гидроузла №5 вода подается насосными агрегатами абонентам пгт. Новый Городок и котельную №11. Применение насосов на гидроузле №7 и гидроузле №5 связано с особенностями рельефа местности, делающей невозможной создание необходимого располагаемого напора в точках присоединения абонентов при применении самотечной схемы водоснабжения.</w:t>
      </w:r>
    </w:p>
    <w:p>
      <w:pPr>
        <w:pStyle w:val="Normal"/>
        <w:rPr/>
      </w:pPr>
      <w:r>
        <w:rPr/>
        <w:t>Включение в работу насосной станции подкачки №1 «Уроп» производится при необходимости подачи дополнительного объема воды на гидроузел №7 (в период максимального водопотребления).</w:t>
      </w:r>
    </w:p>
    <w:p>
      <w:pPr>
        <w:pStyle w:val="Normal"/>
        <w:rPr/>
      </w:pPr>
      <w:r>
        <w:rPr/>
        <w:t xml:space="preserve">Информация о насосных станциях, эксплуатируемых ООО «Водоснабжение», приведена ниже в составе </w:t>
      </w:r>
      <w:hyperlink w:anchor="_Описание_состояния_и">
        <w:r>
          <w:rPr>
            <w:rStyle w:val="-"/>
          </w:rPr>
          <w:t>пункта 1.1.4.3</w:t>
        </w:r>
      </w:hyperlink>
      <w:r>
        <w:rPr/>
        <w:t xml:space="preserve">. </w:t>
      </w:r>
    </w:p>
    <w:p>
      <w:pPr>
        <w:pStyle w:val="Normal"/>
        <w:rPr/>
      </w:pPr>
      <w:r>
        <w:rPr/>
        <w:t>Качество воды Инского, Уропского, Хахалинского, Каменского комплексов водозаборных сооружений соответствует требованиям [</w:t>
      </w:r>
      <w:r>
        <w:rPr/>
        <w:fldChar w:fldCharType="begin"/>
      </w:r>
      <w:r>
        <w:rPr/>
        <w:instrText xml:space="preserve"> REF _Ref156858215 \n \h </w:instrText>
      </w:r>
      <w:r>
        <w:rPr/>
        <w:fldChar w:fldCharType="separate"/>
      </w:r>
      <w:r>
        <w:rPr/>
        <w:t>17</w:t>
      </w:r>
      <w:r>
        <w:rPr/>
        <w:fldChar w:fldCharType="end"/>
      </w:r>
      <w:r>
        <w:rPr/>
        <w:t>].</w:t>
      </w:r>
    </w:p>
    <w:p>
      <w:pPr>
        <w:pStyle w:val="Normal"/>
        <w:rPr/>
      </w:pPr>
      <w:r>
        <w:rPr/>
        <w:t>Обеззараживание питьевой воды осуществляется препаратом БИОПАГ на гидроузле № 2 «Уроп».</w:t>
      </w:r>
    </w:p>
    <w:p>
      <w:pPr>
        <w:pStyle w:val="Normal"/>
        <w:rPr/>
      </w:pPr>
      <w:r>
        <w:rPr/>
        <w:t xml:space="preserve">Данные по качеству воды в РдВ на гидроузлах №№ 2, 7, 5 перед поступлением в распределительную сеть приведены в таблице </w:t>
      </w:r>
      <w:r>
        <w:rPr/>
        <w:fldChar w:fldCharType="begin"/>
      </w:r>
      <w:r>
        <w:rPr/>
        <w:instrText xml:space="preserve"> REF _Ref156859243 \h </w:instrText>
      </w:r>
      <w:r>
        <w:rPr/>
        <w:fldChar w:fldCharType="separate"/>
      </w:r>
      <w:r>
        <w:rPr/>
        <w:t>Таблица 1.1.3</w:t>
      </w:r>
      <w:r>
        <w:rPr/>
        <w:fldChar w:fldCharType="end"/>
      </w:r>
      <w:r>
        <w:rPr/>
        <w:t xml:space="preserve">. </w:t>
      </w:r>
    </w:p>
    <w:p>
      <w:pPr>
        <w:pStyle w:val="Style34"/>
        <w:rPr/>
      </w:pPr>
      <w:bookmarkStart w:id="15" w:name="_Ref156859243"/>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3</w:t>
      </w:r>
      <w:r>
        <w:rPr/>
        <w:fldChar w:fldCharType="end"/>
      </w:r>
      <w:bookmarkEnd w:id="15"/>
      <w:r>
        <w:rPr/>
        <w:t xml:space="preserve"> – Данные по качеству воды в РдВ на гидроузлах №№ 2, 7, 5 перед поступлением в распределительную сеть</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22"/>
        <w:gridCol w:w="2395"/>
        <w:gridCol w:w="1108"/>
        <w:gridCol w:w="1107"/>
        <w:gridCol w:w="1107"/>
        <w:gridCol w:w="1559"/>
        <w:gridCol w:w="1556"/>
      </w:tblGrid>
      <w:tr>
        <w:trPr>
          <w:tblHeader w:val="true"/>
          <w:trHeight w:val="20" w:hRule="atLeast"/>
        </w:trPr>
        <w:tc>
          <w:tcPr>
            <w:tcW w:w="522" w:type="dxa"/>
            <w:vMerge w:val="restart"/>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395" w:type="dxa"/>
            <w:vMerge w:val="restart"/>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Показатели</w:t>
            </w:r>
          </w:p>
        </w:tc>
        <w:tc>
          <w:tcPr>
            <w:tcW w:w="3322" w:type="dxa"/>
            <w:gridSpan w:val="3"/>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Результаты исследований</w:t>
            </w:r>
          </w:p>
        </w:tc>
        <w:tc>
          <w:tcPr>
            <w:tcW w:w="3115" w:type="dxa"/>
            <w:gridSpan w:val="2"/>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Гигиенический норматив или величина допустимого уровня</w:t>
            </w:r>
          </w:p>
        </w:tc>
      </w:tr>
      <w:tr>
        <w:trPr>
          <w:tblHeader w:val="true"/>
          <w:trHeight w:val="20" w:hRule="atLeast"/>
        </w:trPr>
        <w:tc>
          <w:tcPr>
            <w:tcW w:w="5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2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г/у</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г/у РдВ</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г/у РдВ Уропский</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Кол-во</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изм.</w:t>
            </w:r>
          </w:p>
        </w:tc>
      </w:tr>
      <w:tr>
        <w:trPr>
          <w:tblHeader w:val="true"/>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Органолептические показатели</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Запах при 20 </w:t>
            </w:r>
            <w:r>
              <w:rPr>
                <w:rFonts w:eastAsia="Times New Roman" w:cs="Times New Roman"/>
                <w:color w:val="000000"/>
                <w:sz w:val="20"/>
                <w:szCs w:val="20"/>
                <w:vertAlign w:val="superscript"/>
                <w:lang w:eastAsia="ru-RU"/>
              </w:rPr>
              <w:t>о</w:t>
            </w:r>
            <w:r>
              <w:rPr>
                <w:rFonts w:eastAsia="Times New Roman" w:cs="Times New Roman"/>
                <w:color w:val="000000"/>
                <w:sz w:val="20"/>
                <w:szCs w:val="20"/>
                <w:lang w:eastAsia="ru-RU"/>
              </w:rPr>
              <w:t>С</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баллы</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Привкус</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баллы</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Цветность</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градусы</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Мутность</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0,68</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(3,5)</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Обобщенные показатели</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Водородный показатель, pH</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7,31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7,31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6-9</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рН</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Минерализация (сухой остаток)</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440</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459,5</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1000</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Жесткость общая</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6,4</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Ж</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Окисляемость</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0,64</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0,84</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0,64</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ПАВ</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Железо</w:t>
            </w:r>
            <w:r>
              <w:rPr>
                <w:rFonts w:eastAsia="Times New Roman" w:cs="Times New Roman"/>
                <w:color w:val="000000"/>
                <w:sz w:val="20"/>
                <w:szCs w:val="20"/>
                <w:vertAlign w:val="subscript"/>
                <w:lang w:eastAsia="ru-RU"/>
              </w:rPr>
              <w:t>общее</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&lt;0,1</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r>
        <w:trPr>
          <w:trHeight w:val="20" w:hRule="atLeast"/>
        </w:trPr>
        <w:tc>
          <w:tcPr>
            <w:tcW w:w="522"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3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Марганец</w:t>
            </w:r>
          </w:p>
        </w:tc>
        <w:tc>
          <w:tcPr>
            <w:tcW w:w="11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1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&lt;0,01</w:t>
            </w:r>
          </w:p>
        </w:tc>
        <w:tc>
          <w:tcPr>
            <w:tcW w:w="1559"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0,1</w:t>
            </w:r>
          </w:p>
        </w:tc>
        <w:tc>
          <w:tcPr>
            <w:tcW w:w="15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мг/дм</w:t>
            </w:r>
            <w:r>
              <w:rPr>
                <w:rFonts w:eastAsia="Times New Roman" w:cs="Times New Roman"/>
                <w:color w:val="000000"/>
                <w:sz w:val="20"/>
                <w:szCs w:val="20"/>
                <w:vertAlign w:val="superscript"/>
                <w:lang w:eastAsia="ru-RU"/>
              </w:rPr>
              <w:t>3</w:t>
            </w:r>
          </w:p>
        </w:tc>
      </w:tr>
    </w:tbl>
    <w:p>
      <w:pPr>
        <w:pStyle w:val="Normal"/>
        <w:rPr/>
      </w:pPr>
      <w:r>
        <w:rPr/>
        <w:t>Качество воды, поступающей потребителям с РдВ гидроузлов №№ 3, 7, 5 соответствует требованиям [</w:t>
      </w:r>
      <w:r>
        <w:rPr/>
        <w:fldChar w:fldCharType="begin"/>
      </w:r>
      <w:r>
        <w:rPr/>
        <w:instrText xml:space="preserve"> REF _Ref156858215 \n \h </w:instrText>
      </w:r>
      <w:r>
        <w:rPr/>
        <w:fldChar w:fldCharType="separate"/>
      </w:r>
      <w:r>
        <w:rPr/>
        <w:t>17</w:t>
      </w:r>
      <w:r>
        <w:rPr/>
        <w:fldChar w:fldCharType="end"/>
      </w:r>
      <w:r>
        <w:rPr/>
        <w:t>].</w:t>
      </w:r>
    </w:p>
    <w:p>
      <w:pPr>
        <w:pStyle w:val="Normal"/>
        <w:rPr/>
      </w:pPr>
      <w:r>
        <w:rPr/>
        <w:t>ООО «Водоснабжение» обслуживает 502,5 км водопроводных сетей на правах аренды, из них 81,7% выполнено из стали, 14,5% из чугуна, 3,8% из полиэтилена и ПВХ.</w:t>
      </w:r>
    </w:p>
    <w:p>
      <w:pPr>
        <w:pStyle w:val="Normal"/>
        <w:rPr/>
      </w:pPr>
      <w:r>
        <w:rPr/>
        <w:t>Магистральные трубопроводы введены в эксплуатацию в 1968–1988 годах, то есть отслужили уже 36–56 лет (средневзвешенный срок службы стальных водопроводных трубопроводов ~30 лет). Протяженность магистральных водопроводных сетей, которые требуют немедленной замены, составляет не менее 94,1 км.</w:t>
      </w:r>
    </w:p>
    <w:p>
      <w:pPr>
        <w:pStyle w:val="Normal"/>
        <w:rPr/>
      </w:pPr>
      <w:bookmarkStart w:id="16" w:name="_Hlk158638417"/>
      <w:r>
        <w:rPr/>
        <w:t xml:space="preserve">За период 2022–2023 годов в эксплуатационной зоне ООО «Водоснабжение» были выполнены следующие мероприятия: </w:t>
      </w:r>
    </w:p>
    <w:p>
      <w:pPr>
        <w:pStyle w:val="ListParagraph"/>
        <w:numPr>
          <w:ilvl w:val="0"/>
          <w:numId w:val="9"/>
        </w:numPr>
        <w:ind w:left="993" w:hanging="284"/>
        <w:rPr/>
      </w:pPr>
      <w:bookmarkStart w:id="17" w:name="_Hlk158642631"/>
      <w:r>
        <w:rPr/>
        <w:t>строительство водовода от гидроузла №7 до 3 микрорайона и реконструкция гидроузла №7, Беловский городской округ Кемеровской области Ду=400 мм, L=8 600 м;</w:t>
      </w:r>
    </w:p>
    <w:p>
      <w:pPr>
        <w:pStyle w:val="ListParagraph"/>
        <w:numPr>
          <w:ilvl w:val="0"/>
          <w:numId w:val="9"/>
        </w:numPr>
        <w:ind w:left="993" w:hanging="284"/>
        <w:rPr/>
      </w:pPr>
      <w:r>
        <w:rPr/>
        <w:t>реконструкция стального магистрального водопровода Ду=720 мм от гидроузла № 2 до гидроузла № 7 на участке: от реки Иня – через автодорогу I категории «Ленинск-Кузнецкий–Новокузнецк» L=1 450 м, Кемеровская обл., Беловский городской округ;</w:t>
      </w:r>
    </w:p>
    <w:p>
      <w:pPr>
        <w:pStyle w:val="ListParagraph"/>
        <w:numPr>
          <w:ilvl w:val="0"/>
          <w:numId w:val="9"/>
        </w:numPr>
        <w:ind w:left="993" w:hanging="284"/>
        <w:rPr/>
      </w:pPr>
      <w:bookmarkStart w:id="18" w:name="_Hlk158642631"/>
      <w:r>
        <w:rPr/>
        <w:t>реконструкция участков стального магистрального водопровода Ду=720 мм от гидроузла № 2 до гидроузла № 7, расположенного вдоль автодороги д. Коротково д. Уроп (участок на 10-ом км дороги, L=550 м, Ду=720 мм.; участок на 12-ом км автодороги, L=250 м, Ду=720 мм) Кемеровская область, Беловский муниципальный район;</w:t>
      </w:r>
      <w:bookmarkEnd w:id="18"/>
    </w:p>
    <w:p>
      <w:pPr>
        <w:pStyle w:val="ListParagraph"/>
        <w:numPr>
          <w:ilvl w:val="0"/>
          <w:numId w:val="9"/>
        </w:numPr>
        <w:ind w:left="993" w:hanging="284"/>
        <w:rPr/>
      </w:pPr>
      <w:r>
        <w:rPr/>
        <w:t>ремонт объекта: «Водопровод от д. 39 ул. Старченко по ул. Волкова от д. 47 до д. 55 в мкр. Бабанаково, Кемеровская область-Кузбасс, Беловский городской округ» (протяженность – 315 м, Ду=63 мм, заказчик работ – МКУ «СЗ ЖКХ»);</w:t>
      </w:r>
    </w:p>
    <w:p>
      <w:pPr>
        <w:pStyle w:val="ListParagraph"/>
        <w:numPr>
          <w:ilvl w:val="0"/>
          <w:numId w:val="9"/>
        </w:numPr>
        <w:ind w:left="993" w:hanging="284"/>
        <w:rPr/>
      </w:pPr>
      <w:r>
        <w:rPr/>
        <w:t>капитальный ремонт участка водопровода Ду=110 мм., L=540 м по ул. Глинки в пгт. Новый Городок, Беловский городской округ, Кемеровская область – Кузбасс (заказчик работ – МКУ «СЗ ЖКХ»);</w:t>
      </w:r>
    </w:p>
    <w:p>
      <w:pPr>
        <w:pStyle w:val="ListParagraph"/>
        <w:numPr>
          <w:ilvl w:val="0"/>
          <w:numId w:val="9"/>
        </w:numPr>
        <w:ind w:left="993" w:hanging="284"/>
        <w:rPr/>
      </w:pPr>
      <w:r>
        <w:rPr/>
        <w:t>капитальный ремонт водопровода в мкр. Старо-Белово (ул. Космическая, Красная, Маяковского, Щорса);</w:t>
      </w:r>
    </w:p>
    <w:p>
      <w:pPr>
        <w:pStyle w:val="ListParagraph"/>
        <w:numPr>
          <w:ilvl w:val="0"/>
          <w:numId w:val="9"/>
        </w:numPr>
        <w:ind w:left="993" w:hanging="284"/>
        <w:rPr/>
      </w:pPr>
      <w:r>
        <w:rPr/>
        <w:t>капитальный ремонт водопровода Ду=110 мм, L=1 156 м от ул. Пушкина до ул. Фрунзе в микрорайоне Старо-Белово, Беловский городской округ, Кемеровская область – Кузбасс;</w:t>
      </w:r>
    </w:p>
    <w:p>
      <w:pPr>
        <w:pStyle w:val="ListParagraph"/>
        <w:numPr>
          <w:ilvl w:val="0"/>
          <w:numId w:val="9"/>
        </w:numPr>
        <w:ind w:left="993" w:hanging="284"/>
        <w:rPr/>
      </w:pPr>
      <w:r>
        <w:rPr/>
        <w:t>капитальный ремонт водопроводов (Ду=160 мм, Ду=110 мм, Ду=63 мм) по улицам Родины, Кленовая, Березовая в пгт. Инской, Беловский городской округ, Кемеровская область – Кузбасс;</w:t>
      </w:r>
    </w:p>
    <w:p>
      <w:pPr>
        <w:pStyle w:val="ListParagraph"/>
        <w:numPr>
          <w:ilvl w:val="0"/>
          <w:numId w:val="9"/>
        </w:numPr>
        <w:ind w:left="993" w:hanging="284"/>
        <w:rPr/>
      </w:pPr>
      <w:r>
        <w:rPr/>
        <w:t xml:space="preserve">капитальный ремонт водопровода по ул. Черноморская в мкр. Чертинский Ду=225 мм ПЭ, </w:t>
      </w:r>
      <w:r>
        <w:rPr>
          <w:lang w:val="en-US"/>
        </w:rPr>
        <w:t>L</w:t>
      </w:r>
      <w:r>
        <w:rPr/>
        <w:t>=849 м (исполнитель – ООО «Водоснабжение»);</w:t>
      </w:r>
    </w:p>
    <w:p>
      <w:pPr>
        <w:pStyle w:val="ListParagraph"/>
        <w:numPr>
          <w:ilvl w:val="0"/>
          <w:numId w:val="9"/>
        </w:numPr>
        <w:ind w:left="993" w:hanging="284"/>
        <w:rPr/>
      </w:pPr>
      <w:r>
        <w:rPr/>
        <w:t xml:space="preserve">капитальный ремонт водопровода в мкр. Технологический пгт. Инской Ду=110 мм, ПЭ, </w:t>
      </w:r>
      <w:r>
        <w:rPr>
          <w:lang w:val="en-US"/>
        </w:rPr>
        <w:t>L</w:t>
      </w:r>
      <w:r>
        <w:rPr/>
        <w:t>=300 м (исполнитель – ООО «Водоснабжение»);</w:t>
      </w:r>
    </w:p>
    <w:p>
      <w:pPr>
        <w:pStyle w:val="ListParagraph"/>
        <w:numPr>
          <w:ilvl w:val="0"/>
          <w:numId w:val="9"/>
        </w:numPr>
        <w:ind w:left="993" w:hanging="284"/>
        <w:rPr/>
      </w:pPr>
      <w:r>
        <w:rPr/>
        <w:t xml:space="preserve">капитальный ремонт водопровода по ул. Брянская мкр. Чертинский, Ду=50 мм, ПЭ, </w:t>
      </w:r>
      <w:r>
        <w:rPr>
          <w:lang w:val="en-US"/>
        </w:rPr>
        <w:t>L</w:t>
      </w:r>
      <w:r>
        <w:rPr/>
        <w:t>=365 м (исполнитель – ООО «Водоснабжение»);</w:t>
      </w:r>
    </w:p>
    <w:p>
      <w:pPr>
        <w:pStyle w:val="ListParagraph"/>
        <w:numPr>
          <w:ilvl w:val="0"/>
          <w:numId w:val="9"/>
        </w:numPr>
        <w:ind w:left="993" w:hanging="284"/>
        <w:rPr/>
      </w:pPr>
      <w:r>
        <w:rPr/>
        <w:t xml:space="preserve">капитальный ремонт водопровода по ул. Железнодорожная, Ду=110 мм, ПЭ, </w:t>
      </w:r>
      <w:r>
        <w:rPr>
          <w:lang w:val="en-US"/>
        </w:rPr>
        <w:t>L</w:t>
      </w:r>
      <w:r>
        <w:rPr/>
        <w:t>=114 м (исполнитель – ООО «Водоснабжение»);</w:t>
      </w:r>
    </w:p>
    <w:p>
      <w:pPr>
        <w:pStyle w:val="ListParagraph"/>
        <w:numPr>
          <w:ilvl w:val="0"/>
          <w:numId w:val="9"/>
        </w:numPr>
        <w:ind w:left="993" w:hanging="284"/>
        <w:rPr/>
      </w:pPr>
      <w:r>
        <w:rPr/>
        <w:t xml:space="preserve">капитальный ремонт отдельных участков уличных водопроводов Ду=40–63 мм, ПЭ (ул. Ленина, Достоевского, Бабушкина, Коломенская, Новогодняя, Нахимова, Московская, Беловская, О. Кошевого, Некрасова и т.д.), </w:t>
      </w:r>
      <w:r>
        <w:rPr>
          <w:lang w:val="en-US"/>
        </w:rPr>
        <w:t>L</w:t>
      </w:r>
      <w:r>
        <w:rPr/>
        <w:t>=1 641 м (исполнитель – ООО «Водоснабжение»);</w:t>
      </w:r>
    </w:p>
    <w:p>
      <w:pPr>
        <w:pStyle w:val="ListParagraph"/>
        <w:numPr>
          <w:ilvl w:val="0"/>
          <w:numId w:val="9"/>
        </w:numPr>
        <w:ind w:left="993" w:hanging="284"/>
        <w:rPr/>
      </w:pPr>
      <w:r>
        <w:rPr/>
        <w:t xml:space="preserve">капитальный ремонт водопровода по ул. Чкалова, 18 – ул. К. Маркса, Ду=110–63 мм, ПЭ, </w:t>
      </w:r>
      <w:r>
        <w:rPr>
          <w:lang w:val="en-US"/>
        </w:rPr>
        <w:t>L</w:t>
      </w:r>
      <w:r>
        <w:rPr/>
        <w:t>=231 м (исполнитель – ООО «Водоснабжение»);</w:t>
      </w:r>
    </w:p>
    <w:p>
      <w:pPr>
        <w:pStyle w:val="ListParagraph"/>
        <w:numPr>
          <w:ilvl w:val="0"/>
          <w:numId w:val="9"/>
        </w:numPr>
        <w:ind w:left="993" w:hanging="284"/>
        <w:rPr/>
      </w:pPr>
      <w:r>
        <w:rPr/>
        <w:t xml:space="preserve">капитальный ремонт водопровода по ул. Р. Люксембург Ду=50 мм, ПЭ, </w:t>
      </w:r>
      <w:r>
        <w:rPr>
          <w:lang w:val="en-US"/>
        </w:rPr>
        <w:t>L</w:t>
      </w:r>
      <w:r>
        <w:rPr/>
        <w:t>=650 м (исполнитель – ООО «Водоснабжение»);</w:t>
      </w:r>
    </w:p>
    <w:p>
      <w:pPr>
        <w:pStyle w:val="ListParagraph"/>
        <w:numPr>
          <w:ilvl w:val="0"/>
          <w:numId w:val="9"/>
        </w:numPr>
        <w:ind w:left="993" w:hanging="284"/>
        <w:rPr/>
      </w:pPr>
      <w:r>
        <w:rPr/>
        <w:t>капитальный ремонт водопровода по ул. Московская 4–6 Ду=110 мм, ПЭ (исполнитель – ООО «Водоснабжение»);</w:t>
      </w:r>
    </w:p>
    <w:p>
      <w:pPr>
        <w:pStyle w:val="ListParagraph"/>
        <w:numPr>
          <w:ilvl w:val="0"/>
          <w:numId w:val="9"/>
        </w:numPr>
        <w:ind w:left="993" w:hanging="284"/>
        <w:rPr/>
      </w:pPr>
      <w:r>
        <w:rPr/>
        <w:t xml:space="preserve">капитальный ремонт водопровода от скв. 169 и 169а Уропского водозабора Ду=225 мм, ПЭ, </w:t>
      </w:r>
      <w:r>
        <w:rPr>
          <w:lang w:val="en-US"/>
        </w:rPr>
        <w:t>L</w:t>
      </w:r>
      <w:r>
        <w:rPr/>
        <w:t>=2 500 м (исполнитель – ООО «Водоснабжение»);</w:t>
      </w:r>
    </w:p>
    <w:p>
      <w:pPr>
        <w:pStyle w:val="ListParagraph"/>
        <w:numPr>
          <w:ilvl w:val="0"/>
          <w:numId w:val="9"/>
        </w:numPr>
        <w:ind w:left="993" w:hanging="284"/>
        <w:rPr/>
      </w:pPr>
      <w:r>
        <w:rPr/>
        <w:t>капитальный ремонт водоразборных колонок на уличных водопроводах – 224 шт. (исполнитель – ООО «Водоснабжение»);</w:t>
      </w:r>
    </w:p>
    <w:p>
      <w:pPr>
        <w:pStyle w:val="ListParagraph"/>
        <w:numPr>
          <w:ilvl w:val="0"/>
          <w:numId w:val="9"/>
        </w:numPr>
        <w:ind w:left="993" w:hanging="284"/>
        <w:rPr/>
      </w:pPr>
      <w:bookmarkStart w:id="19" w:name="_Hlk158638417"/>
      <w:r>
        <w:rPr/>
        <w:t>замена (вместо  пришедших в  технически  неисправное состояние  в  процессе  эксплуатации) погружных  насосов  на  водозаборных  скважинах  Инского, Уропского, Хахалинского  и  Каменского  водозаборов (ЭЦВ 8,ЭЦВ 10,ЭЦВ 12 различных  модификаций) – 54 шт., замена СУЗ-100 – 12 шт., замена  водоподъемных  труб  в  скважинах – 260 м, замена  глубинного  провода ВПП-25 – 1 200 м, замена  задвижек Ду=100 мм – 6 шт., Ду=150 мм – 3 шт. (исполнитель – ООО «Водоснабжение»).</w:t>
      </w:r>
      <w:bookmarkEnd w:id="19"/>
    </w:p>
    <w:p>
      <w:pPr>
        <w:pStyle w:val="Normal"/>
        <w:rPr/>
      </w:pPr>
      <w:r>
        <w:rPr/>
        <w:t xml:space="preserve">Структура ЦС ХВС в эксплуатационной зоне МУП «Водоканал» на территории Беловского ГО представлена на рисунке </w:t>
      </w:r>
      <w:r>
        <w:rPr/>
        <w:fldChar w:fldCharType="begin"/>
      </w:r>
      <w:r>
        <w:rPr/>
        <w:instrText xml:space="preserve"> REF _Ref155546238 \h </w:instrText>
      </w:r>
      <w:r>
        <w:rPr/>
        <w:fldChar w:fldCharType="separate"/>
      </w:r>
      <w:r>
        <w:rPr/>
        <w:t>Рисунок 1.1.2</w:t>
      </w:r>
      <w:r>
        <w:rPr/>
        <w:fldChar w:fldCharType="end"/>
      </w:r>
      <w:r>
        <w:rPr/>
        <w:t>.</w:t>
      </w:r>
    </w:p>
    <w:p>
      <w:pPr>
        <w:pStyle w:val="Style26"/>
        <w:rPr/>
      </w:pPr>
      <w:r>
        <w:rPr/>
        <w:drawing>
          <wp:inline distT="0" distB="0" distL="0" distR="0">
            <wp:extent cx="4166235" cy="3599815"/>
            <wp:effectExtent l="0" t="0" r="0" b="0"/>
            <wp:docPr id="4" name="Рисунок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5" descr=""/>
                    <pic:cNvPicPr>
                      <a:picLocks noChangeAspect="1" noChangeArrowheads="1"/>
                    </pic:cNvPicPr>
                  </pic:nvPicPr>
                  <pic:blipFill>
                    <a:blip r:embed="rId8"/>
                    <a:stretch>
                      <a:fillRect/>
                    </a:stretch>
                  </pic:blipFill>
                  <pic:spPr bwMode="auto">
                    <a:xfrm>
                      <a:off x="0" y="0"/>
                      <a:ext cx="4166235" cy="3599815"/>
                    </a:xfrm>
                    <a:prstGeom prst="rect">
                      <a:avLst/>
                    </a:prstGeom>
                  </pic:spPr>
                </pic:pic>
              </a:graphicData>
            </a:graphic>
          </wp:inline>
        </w:drawing>
      </w:r>
    </w:p>
    <w:p>
      <w:pPr>
        <w:pStyle w:val="Caption"/>
        <w:rPr/>
      </w:pPr>
      <w:bookmarkStart w:id="20" w:name="_Ref155546238"/>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2</w:t>
      </w:r>
      <w:r>
        <w:rPr/>
        <w:fldChar w:fldCharType="end"/>
      </w:r>
      <w:bookmarkEnd w:id="20"/>
      <w:r>
        <w:rPr/>
        <w:t xml:space="preserve"> – Структура ЦС ХВС в эксплуатационной зоне МУП «Водоканал» на территории Беловского ГО</w:t>
      </w:r>
    </w:p>
    <w:p>
      <w:pPr>
        <w:pStyle w:val="Normal"/>
        <w:rPr/>
      </w:pPr>
      <w:r>
        <w:rPr/>
        <w:t xml:space="preserve">В соответствии с данными, размещенными на </w:t>
      </w:r>
      <w:bookmarkStart w:id="21" w:name="_Hlk155449720"/>
      <w:r>
        <w:rPr/>
        <w:t xml:space="preserve">портале публикации сведений, подлежащих свободному доступу Федеральной антимонопольной службы </w:t>
      </w:r>
      <w:bookmarkEnd w:id="21"/>
      <w:r>
        <w:rPr/>
        <w:t>(</w:t>
      </w:r>
      <w:hyperlink r:id="rId9">
        <w:r>
          <w:rPr>
            <w:rStyle w:val="-"/>
          </w:rPr>
          <w:t>https://ri.eias.ru/</w:t>
        </w:r>
      </w:hyperlink>
      <w:r>
        <w:rPr/>
        <w:t xml:space="preserve">), протяженность водопроводных сетей в эксплуатационной зоне МУП «Водоканал» по состоянию на 29.11.2022 составляет 97,54 км (в том числе часть Ленинск-Кузнецкого водовода от гидроузла № 6 в мкр. Полысаево до секущей задвижки в пойме реки Иня, протяженностью 13,87 км). Водопроводные сети были введены эксплуатацию в 1960–1990 годах, таким образом, срок эксплуатации сетей водоснабжения составляет от 34 до 64 лет. Более половины общей протяженности сетей имеет износ свыше 70%. </w:t>
      </w:r>
    </w:p>
    <w:p>
      <w:pPr>
        <w:pStyle w:val="Normal"/>
        <w:rPr/>
      </w:pPr>
      <w:r>
        <w:rPr/>
        <w:t xml:space="preserve">На момент выполнения настоящей работы эксплуатация водозаборных скважин и подкачивающих насосных станций не осуществляется в связи с низким качеством воды. </w:t>
      </w:r>
    </w:p>
    <w:p>
      <w:pPr>
        <w:pStyle w:val="Normal"/>
        <w:rPr/>
      </w:pPr>
      <w:r>
        <w:rPr/>
        <w:t xml:space="preserve">Численность населения (категория – физические лица), обеспеченного услугой холодного водоснабжения от МУП «Водоканал» на территории пгт. и одноименной д. Грамотеино Беловского ГО, составляет около ~14 000 абонентов. Численностью юридических лиц постоянно растет и на момент выполнения настоящей работы составляет более 80 абонентов. </w:t>
      </w:r>
    </w:p>
    <w:p>
      <w:pPr>
        <w:pStyle w:val="Normal"/>
        <w:rPr/>
      </w:pPr>
      <w:r>
        <w:rPr/>
        <w:t xml:space="preserve">Поставка питьевой воды для нужд пгт. Грамотеино и д. Грамотеино производится из Томского водозабора, находящегося в эксплуатационной зоне открытого акционерного общества «Северо-Кузбасская энергетическая компания» (ОАО «СКЭК», ИНН: 4205153492). Томский водозабор расположен вне границ Беловского ГО и не рассматривается в рамках настоящей работы. </w:t>
      </w:r>
    </w:p>
    <w:p>
      <w:pPr>
        <w:pStyle w:val="Normal"/>
        <w:rPr/>
      </w:pPr>
      <w:r>
        <w:rPr/>
        <w:t>Описание технологической схемы очистки поверхностных вод, забираемых из р. Томь, осуществляемой на станциях водоподготовки г. Ленинск-Кузнецкий, приводится в схеме водоснабжения Ленинск-Кузнецкого городского округа.</w:t>
      </w:r>
    </w:p>
    <w:p>
      <w:pPr>
        <w:pStyle w:val="Normal"/>
        <w:rPr/>
      </w:pPr>
      <w:r>
        <w:rPr/>
        <w:t>Все объекты ЦС ХВС в районе пгт. Грамотеино и д. Грамотеино Беловского ГО переданы в эксплуатацию МУП «Водоканал» на основании договора хозяйственного ведения от 16.04.2018 № 02/18 и дополнительного соглашения к указанному договору от 09.08.2018 № 1.</w:t>
      </w:r>
    </w:p>
    <w:p>
      <w:pPr>
        <w:pStyle w:val="Normal"/>
        <w:rPr/>
      </w:pPr>
      <w:r>
        <w:rPr/>
        <w:t>За период 2022–2023 годов в эксплуатационной зоне МУП «Водоканал» были произведены следующие изменения (</w:t>
      </w:r>
      <w:r>
        <w:rPr/>
        <w:fldChar w:fldCharType="begin"/>
      </w:r>
      <w:r>
        <w:rPr/>
        <w:instrText xml:space="preserve"> REF _Ref156861688 \h </w:instrText>
      </w:r>
      <w:r>
        <w:rPr/>
        <w:fldChar w:fldCharType="separate"/>
      </w:r>
      <w:r>
        <w:rPr/>
        <w:t>Таблица 1.1.4</w:t>
      </w:r>
      <w:r>
        <w:rPr/>
        <w:fldChar w:fldCharType="end"/>
      </w:r>
      <w:r>
        <w:rPr/>
        <w:t>):</w:t>
      </w:r>
    </w:p>
    <w:p>
      <w:pPr>
        <w:pStyle w:val="Style34"/>
        <w:rPr/>
      </w:pPr>
      <w:bookmarkStart w:id="22" w:name="_Ref156861688"/>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4</w:t>
      </w:r>
      <w:r>
        <w:rPr/>
        <w:fldChar w:fldCharType="end"/>
      </w:r>
      <w:bookmarkEnd w:id="22"/>
      <w:r>
        <w:rPr/>
        <w:t xml:space="preserve"> – Изменения в ЦС ХВС в эксплуатационной зоне МУП «Водоканал», произведенные за 2022–2023 гг.</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45"/>
        <w:gridCol w:w="3849"/>
        <w:gridCol w:w="4961"/>
      </w:tblGrid>
      <w:tr>
        <w:trPr>
          <w:tblHeader w:val="true"/>
          <w:trHeight w:val="20" w:hRule="atLeast"/>
        </w:trPr>
        <w:tc>
          <w:tcPr>
            <w:tcW w:w="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84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Адресная привязка</w:t>
            </w:r>
          </w:p>
        </w:tc>
        <w:tc>
          <w:tcPr>
            <w:tcW w:w="496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Изменения в ЦС ХВС</w:t>
            </w:r>
          </w:p>
        </w:tc>
      </w:tr>
      <w:tr>
        <w:trPr>
          <w:tblHeader w:val="true"/>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Колмогоровская, д.21, д.38</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 м ПХВ Ø 50 (замена поверхностного водовода)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Колмогоровская, д. 15, д. 17</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 м ПХВ Ø 63 (частичная замена поверхностного водовода)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 Белово, ул. Полярная, д. 1</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 м ПХВ Ø 32 (замена ввода)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Веерная, д. №№ 12–14</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 м ПХВ Ø 32 (частичная замена участка водопровода)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Октябрьская, д. №№ 32–34</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 м ПХВ Ø 32(частичная замена участка водопровода)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Пешеходный мост Колмогоры –Новостройка</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74 м ПХВ Ø 110 (частичная замена участка водопровода)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Колмогоровская, д. 30</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м ПХВ Ø 32 (новый трубопровод, замена с поверхностного на подземный)</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ул. Песчаная, д. 5</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 м ПХВ Ø 32 (частичная замена участка водопровода)</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38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Мкр. Ново-Белово, в районе ул. Буденного</w:t>
            </w:r>
          </w:p>
        </w:tc>
        <w:tc>
          <w:tcPr>
            <w:tcW w:w="496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Строительство водопровода </w:t>
            </w:r>
          </w:p>
        </w:tc>
      </w:tr>
    </w:tbl>
    <w:p>
      <w:pPr>
        <w:pStyle w:val="Normal"/>
        <w:rPr/>
      </w:pPr>
      <w:r>
        <w:rPr/>
        <w:t xml:space="preserve">Структура ЦС ХВС в эксплуатационной зоне ООО «ЭК» на территории Беловского ГО приведена на рисунке </w:t>
      </w:r>
      <w:r>
        <w:rPr/>
        <w:fldChar w:fldCharType="begin"/>
      </w:r>
      <w:r>
        <w:rPr/>
        <w:instrText xml:space="preserve"> REF _Ref155546745 \h </w:instrText>
      </w:r>
      <w:r>
        <w:rPr/>
        <w:fldChar w:fldCharType="separate"/>
      </w:r>
      <w:r>
        <w:rPr/>
        <w:t>Рисунок 1.1.3</w:t>
      </w:r>
      <w:r>
        <w:rPr/>
        <w:fldChar w:fldCharType="end"/>
      </w:r>
      <w:r>
        <w:rPr/>
        <w:t xml:space="preserve">. </w:t>
      </w:r>
    </w:p>
    <w:p>
      <w:pPr>
        <w:pStyle w:val="Style26"/>
        <w:rPr/>
      </w:pPr>
      <w:r>
        <w:rPr/>
        <w:drawing>
          <wp:inline distT="0" distB="0" distL="0" distR="0">
            <wp:extent cx="5939790" cy="3537585"/>
            <wp:effectExtent l="0" t="0" r="0" b="0"/>
            <wp:docPr id="5"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
                    <pic:cNvPicPr>
                      <a:picLocks noChangeAspect="1" noChangeArrowheads="1"/>
                    </pic:cNvPicPr>
                  </pic:nvPicPr>
                  <pic:blipFill>
                    <a:blip r:embed="rId10"/>
                    <a:stretch>
                      <a:fillRect/>
                    </a:stretch>
                  </pic:blipFill>
                  <pic:spPr bwMode="auto">
                    <a:xfrm>
                      <a:off x="0" y="0"/>
                      <a:ext cx="5939790" cy="3537585"/>
                    </a:xfrm>
                    <a:prstGeom prst="rect">
                      <a:avLst/>
                    </a:prstGeom>
                  </pic:spPr>
                </pic:pic>
              </a:graphicData>
            </a:graphic>
          </wp:inline>
        </w:drawing>
      </w:r>
    </w:p>
    <w:p>
      <w:pPr>
        <w:pStyle w:val="Caption"/>
        <w:rPr/>
      </w:pPr>
      <w:bookmarkStart w:id="23" w:name="_Ref155546745"/>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3</w:t>
      </w:r>
      <w:r>
        <w:rPr/>
        <w:fldChar w:fldCharType="end"/>
      </w:r>
      <w:bookmarkEnd w:id="23"/>
      <w:r>
        <w:rPr/>
        <w:t xml:space="preserve"> – Структура ЦС ХВС в эксплуатационной зоне ООО «ЭК» на территории Беловского ГО</w:t>
      </w:r>
    </w:p>
    <w:p>
      <w:pPr>
        <w:pStyle w:val="Normal"/>
        <w:rPr/>
      </w:pPr>
      <w:r>
        <w:rPr/>
        <w:t>Водоснабжение абонентов пгт. Бачатский, мкр. Финский осуществляется из водозаборных скважин. На балансе ООО «ЭК» находится 8 водозаборных скважин, из них в работе – 7 шт., в резерве – 1 шт. Забор исходной воды из водозаборных скважин ООО «ЭК» осуществляет в соответствии с лицензией на пользование недрами КЕМ 01823 ВЭ от 26.09.2014 на трех участках недр: «Мамонтово», «Сухореченский-1», «Бачатский-1». Срок действия лицензии на пользование недрами: 25.09.2024. Тип подземных вод: питьевые воды, целевое использование подземных вод: питьевое и хозяйственно-бытовое водоснабжение населения и технологическое обеспечение водой объектов промышленности, объем добычи подземных вод: 7 915 м</w:t>
      </w:r>
      <w:r>
        <w:rPr>
          <w:vertAlign w:val="superscript"/>
        </w:rPr>
        <w:t>3</w:t>
      </w:r>
      <w:r>
        <w:rPr/>
        <w:t>/сут.</w:t>
      </w:r>
    </w:p>
    <w:p>
      <w:pPr>
        <w:pStyle w:val="Normal"/>
        <w:rPr/>
      </w:pPr>
      <w:r>
        <w:rPr/>
        <w:t>Участок «Мамонтово» включает водозаборные скважины №№ 1/К-1878 (4293), 2/К</w:t>
        <w:noBreakHyphen/>
        <w:t>1867 (4294), 3/3141 (4123), 4а (7135), расположен в 0,9–1,1 км к северо-западу от п. Старобачаты (расстояние между скважинами 100–580 м); участок «Сухореченский-1» включает водозаборные скважины №№ 12 (7138), 14 (7139), расположен в 4,3–4,5 км к югу от пгт. Бачатский (расстояние между скважинами 22 м); участок «Бачатский-1» включает водозаборные скважины №№ 4(7141), 5(7140), расположен в 1,3–1,6 км к юго-западу от пгт. Бачатский (расстояние между скважинами 67 м).</w:t>
      </w:r>
    </w:p>
    <w:p>
      <w:pPr>
        <w:pStyle w:val="Normal"/>
        <w:rPr/>
      </w:pPr>
      <w:r>
        <w:rPr/>
        <w:t>Запасы подземных вод участков «Мамонтово» и «Сухореченский-1» утверждались Территориальной комиссией по запасам (протокол от 14.03.1989 № 602) в составе Бачатского и Сухореченского участков Бускусканского месторождения подземных вод; срок утверждения запасов истек.</w:t>
      </w:r>
    </w:p>
    <w:p>
      <w:pPr>
        <w:pStyle w:val="Normal"/>
        <w:rPr/>
      </w:pPr>
      <w:r>
        <w:rPr/>
        <w:t>Запасы подземных вод участка «Бачатский-1» государственной экспертизы не проходили.</w:t>
      </w:r>
    </w:p>
    <w:p>
      <w:pPr>
        <w:pStyle w:val="Normal"/>
        <w:rPr/>
      </w:pPr>
      <w:r>
        <w:rPr/>
        <w:t xml:space="preserve">Водозаборные скважины №№ 1, 2, 3, 4а (мкр. Мамонтово) и №№ 12, 14 (Сухая речка) расположены на расстоянии 8 км от пгт. Бачатский. Водозаборные скважины №№ 4, 5 (пгт. Бачатский) расположены на расстоянии 1,5 км от пгт. Бачатский. </w:t>
      </w:r>
    </w:p>
    <w:p>
      <w:pPr>
        <w:pStyle w:val="Normal"/>
        <w:rPr/>
      </w:pPr>
      <w:r>
        <w:rPr/>
        <w:t xml:space="preserve">Основные характеристики водозаборных скважин, находящихся в эксплуатационной зоне ООО «ЭК» на территории Беловского ГО, приведены в таблице </w:t>
      </w:r>
      <w:r>
        <w:rPr/>
        <w:fldChar w:fldCharType="begin"/>
      </w:r>
      <w:r>
        <w:rPr/>
        <w:instrText xml:space="preserve"> REF _Ref155544109 \h </w:instrText>
      </w:r>
      <w:r>
        <w:rPr/>
        <w:fldChar w:fldCharType="separate"/>
      </w:r>
      <w:r>
        <w:rPr/>
        <w:t>Таблица 1.1.5</w:t>
      </w:r>
      <w:r>
        <w:rPr/>
        <w:fldChar w:fldCharType="end"/>
      </w:r>
      <w:r>
        <w:rPr/>
        <w:t xml:space="preserve">. </w:t>
      </w:r>
    </w:p>
    <w:p>
      <w:pPr>
        <w:pStyle w:val="Style34"/>
        <w:rPr/>
      </w:pPr>
      <w:bookmarkStart w:id="24" w:name="_Ref155544109"/>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5</w:t>
      </w:r>
      <w:r>
        <w:rPr/>
        <w:fldChar w:fldCharType="end"/>
      </w:r>
      <w:bookmarkEnd w:id="24"/>
      <w:r>
        <w:rPr/>
        <w:t xml:space="preserve"> – Основные характеристики водозаборных скважин, находящихся в эксплуатационной зоне ООО «ЭК» на территории Беловского ГО</w:t>
      </w:r>
    </w:p>
    <w:tbl>
      <w:tblPr>
        <w:tblW w:w="9345"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439"/>
        <w:gridCol w:w="2044"/>
        <w:gridCol w:w="856"/>
        <w:gridCol w:w="1227"/>
        <w:gridCol w:w="1808"/>
        <w:gridCol w:w="1275"/>
        <w:gridCol w:w="1695"/>
      </w:tblGrid>
      <w:tr>
        <w:trPr>
          <w:tblHeader w:val="true"/>
          <w:trHeight w:val="20" w:hRule="atLeast"/>
        </w:trPr>
        <w:tc>
          <w:tcPr>
            <w:tcW w:w="4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0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скважины по эксплуатации/ по паспорту</w:t>
            </w:r>
          </w:p>
        </w:tc>
        <w:tc>
          <w:tcPr>
            <w:tcW w:w="85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Год бурения</w:t>
            </w:r>
          </w:p>
        </w:tc>
        <w:tc>
          <w:tcPr>
            <w:tcW w:w="122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Глубина скважины, м</w:t>
            </w:r>
          </w:p>
        </w:tc>
        <w:tc>
          <w:tcPr>
            <w:tcW w:w="180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Марка насосного агрегата</w:t>
            </w:r>
          </w:p>
        </w:tc>
        <w:tc>
          <w:tcPr>
            <w:tcW w:w="12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Фактическая подача,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/ч</w:t>
            </w:r>
          </w:p>
        </w:tc>
        <w:tc>
          <w:tcPr>
            <w:tcW w:w="169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Год ввода насосного агрегата в эксплуатацию</w:t>
            </w:r>
          </w:p>
        </w:tc>
      </w:tr>
      <w:tr>
        <w:trPr>
          <w:tblHeader w:val="true"/>
          <w:trHeight w:val="20" w:hRule="atLeast"/>
        </w:trPr>
        <w:tc>
          <w:tcPr>
            <w:tcW w:w="43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0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8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22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2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6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Мамонтовский водозабор</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1/К-1878</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1973</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10-65-150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89</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2013</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2/К-1867</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8-40-90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2009</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3/3 141</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1971</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10-65-150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76</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2009</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4а</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1977</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10-63-110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76</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2009</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b/>
                <w:bCs/>
                <w:color w:val="000000"/>
                <w:sz w:val="20"/>
                <w:szCs w:val="20"/>
                <w:lang w:eastAsia="ru-RU"/>
              </w:rPr>
            </w:pPr>
            <w:r>
              <w:rPr>
                <w:rFonts w:eastAsia="Times New Roman" w:cs="Times New Roman"/>
                <w:color w:val="000000"/>
                <w:sz w:val="20"/>
                <w:szCs w:val="20"/>
                <w:lang w:eastAsia="ru-RU"/>
              </w:rPr>
              <w:t>2</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Сухореченский водозабор</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12</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1994</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10-65-150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2011</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14 (резервная)</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1994</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10-120-60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b/>
                <w:bCs/>
                <w:color w:val="000000"/>
                <w:sz w:val="20"/>
                <w:szCs w:val="20"/>
                <w:lang w:eastAsia="ru-RU"/>
              </w:rPr>
            </w:pPr>
            <w:r>
              <w:rPr>
                <w:rFonts w:eastAsia="Times New Roman" w:cs="Times New Roman"/>
                <w:color w:val="000000"/>
                <w:sz w:val="20"/>
                <w:szCs w:val="20"/>
                <w:lang w:eastAsia="ru-RU"/>
              </w:rPr>
              <w:t>3</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Бачатский водозабор</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4</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1990</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8-16-40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2008</w:t>
            </w:r>
          </w:p>
        </w:tc>
      </w:tr>
      <w:tr>
        <w:trPr>
          <w:trHeight w:val="20" w:hRule="atLeast"/>
        </w:trPr>
        <w:tc>
          <w:tcPr>
            <w:tcW w:w="439"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20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5</w:t>
            </w:r>
          </w:p>
        </w:tc>
        <w:tc>
          <w:tcPr>
            <w:tcW w:w="85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1977</w:t>
            </w:r>
          </w:p>
        </w:tc>
        <w:tc>
          <w:tcPr>
            <w:tcW w:w="122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80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ЭЦВ 8-40-90</w:t>
            </w:r>
          </w:p>
        </w:tc>
        <w:tc>
          <w:tcPr>
            <w:tcW w:w="12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169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2009</w:t>
            </w:r>
          </w:p>
        </w:tc>
      </w:tr>
    </w:tbl>
    <w:p>
      <w:pPr>
        <w:sectPr>
          <w:footerReference w:type="default" r:id="rId11"/>
          <w:footerReference w:type="first" r:id="rId12"/>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Схема расположения водозаборных скважин в эксплуатационной зоне ООО «ЭК» на участках недр «Мамонтово», «Сухореченский-1», «Бачатский</w:t>
        <w:noBreakHyphen/>
        <w:t xml:space="preserve">1» представлена на рисунке </w:t>
      </w:r>
      <w:r>
        <w:rPr/>
        <w:fldChar w:fldCharType="begin"/>
      </w:r>
      <w:r>
        <w:rPr/>
        <w:instrText xml:space="preserve"> REF _Ref156829801 \h </w:instrText>
      </w:r>
      <w:r>
        <w:rPr/>
        <w:fldChar w:fldCharType="separate"/>
      </w:r>
      <w:r>
        <w:rPr/>
        <w:t>Рисунок 1.1.4</w:t>
      </w:r>
      <w:r>
        <w:rPr/>
        <w:fldChar w:fldCharType="end"/>
      </w:r>
      <w:r>
        <w:rPr/>
        <w:t xml:space="preserve">. </w:t>
      </w:r>
    </w:p>
    <w:p>
      <w:pPr>
        <w:pStyle w:val="Style26"/>
        <w:rPr/>
      </w:pPr>
      <w:r>
        <w:rPr/>
        <w:drawing>
          <wp:inline distT="0" distB="0" distL="0" distR="0">
            <wp:extent cx="8118475" cy="5436235"/>
            <wp:effectExtent l="0" t="0" r="0" b="0"/>
            <wp:docPr id="6"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 descr=""/>
                    <pic:cNvPicPr>
                      <a:picLocks noChangeAspect="1" noChangeArrowheads="1"/>
                    </pic:cNvPicPr>
                  </pic:nvPicPr>
                  <pic:blipFill>
                    <a:blip r:embed="rId13"/>
                    <a:stretch>
                      <a:fillRect/>
                    </a:stretch>
                  </pic:blipFill>
                  <pic:spPr bwMode="auto">
                    <a:xfrm>
                      <a:off x="0" y="0"/>
                      <a:ext cx="8118475" cy="5436235"/>
                    </a:xfrm>
                    <a:prstGeom prst="rect">
                      <a:avLst/>
                    </a:prstGeom>
                  </pic:spPr>
                </pic:pic>
              </a:graphicData>
            </a:graphic>
          </wp:inline>
        </w:drawing>
      </w:r>
    </w:p>
    <w:p>
      <w:pPr>
        <w:sectPr>
          <w:footerReference w:type="default" r:id="rId14"/>
          <w:footerReference w:type="first" r:id="rId15"/>
          <w:type w:val="nextPage"/>
          <w:pgSz w:orient="landscape" w:w="16838" w:h="11906"/>
          <w:pgMar w:left="1134" w:right="1134" w:gutter="0" w:header="0" w:top="1701" w:footer="708" w:bottom="850"/>
          <w:pgNumType w:fmt="decimal"/>
          <w:formProt w:val="false"/>
          <w:textDirection w:val="lrTb"/>
          <w:docGrid w:type="default" w:linePitch="360" w:charSpace="0"/>
        </w:sectPr>
        <w:pStyle w:val="Caption"/>
        <w:rPr/>
      </w:pPr>
      <w:bookmarkStart w:id="25" w:name="_Ref156829801"/>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4</w:t>
      </w:r>
      <w:r>
        <w:rPr/>
        <w:fldChar w:fldCharType="end"/>
      </w:r>
      <w:bookmarkEnd w:id="25"/>
      <w:r>
        <w:rPr/>
        <w:t xml:space="preserve"> – Схема расположения водозаборных скважин в эксплуатационной зоне ООО «ЭК» на участках недр «Мамонтово», «Сухореченский-1», «Бачатский-1»</w:t>
      </w:r>
    </w:p>
    <w:p>
      <w:pPr>
        <w:pStyle w:val="Normal"/>
        <w:rPr/>
      </w:pPr>
      <w:r>
        <w:rPr/>
        <w:t>ООО «ЭК» эксплуатирует насосные станции 2-го и 3-го подъемов, с помощью которых осуществляется аккумулирование воды и регулировка гидравлического режима водоснабжения.</w:t>
      </w:r>
    </w:p>
    <w:p>
      <w:pPr>
        <w:pStyle w:val="Normal"/>
        <w:rPr/>
      </w:pPr>
      <w:r>
        <w:rPr/>
        <w:t>От водозаборных скважин мкр. Мамонтово исходная вода поступает в 2 РдВ (объемом 1 000 м</w:t>
      </w:r>
      <w:r>
        <w:rPr>
          <w:vertAlign w:val="superscript"/>
        </w:rPr>
        <w:t>3</w:t>
      </w:r>
      <w:r>
        <w:rPr/>
        <w:t xml:space="preserve"> каждый) насосной станции 2-го подъема. Время работы скважин регулирует машинист насосной станции 2-го подъема на основании из показателей уровня воды в РдВ. Далее (по требованию машиниста насосной станции 3-го подъема) питьевая вода из РдВ 2-го подъема насосом ЦНС 300-120 подается в 2 РдВ насосной станции 3-го подъема объемом 2 000 м</w:t>
      </w:r>
      <w:r>
        <w:rPr>
          <w:vertAlign w:val="superscript"/>
        </w:rPr>
        <w:t>3</w:t>
      </w:r>
      <w:r>
        <w:rPr/>
        <w:t xml:space="preserve"> каждый. Также в РдВ насосной станции 3-го подъема постоянно поступает вода от скважин №№ 4, 5, 12 (пгт. Бачатский, Сухая речка).</w:t>
      </w:r>
    </w:p>
    <w:p>
      <w:pPr>
        <w:pStyle w:val="Normal"/>
        <w:rPr/>
      </w:pPr>
      <w:r>
        <w:rPr/>
        <w:t>На насосной станции 3-го подъема обеспечивается обеззараживание и подача воды в распределительные пгт. Бачатский с помощью насоса Д 320-50, а также подача воды на нужды котельной ПСХ-2 и промышленных потребителей насосом типа Д 320-70. Подача воды на котельную ПСХ-2 производится периодически по требованию мастера котельной.</w:t>
      </w:r>
    </w:p>
    <w:p>
      <w:pPr>
        <w:pStyle w:val="Normal"/>
        <w:rPr/>
      </w:pPr>
      <w:r>
        <w:rPr/>
        <w:t xml:space="preserve">Информация о насосных станциях 2-го и 3-го подъемов, эксплуатируемых ООО «ЭК» на территории Беловского ГО, приведена в таблице </w:t>
      </w:r>
      <w:r>
        <w:rPr/>
        <w:fldChar w:fldCharType="begin"/>
      </w:r>
      <w:r>
        <w:rPr/>
        <w:instrText xml:space="preserve"> REF _Ref155544607 \h </w:instrText>
      </w:r>
      <w:r>
        <w:rPr/>
        <w:fldChar w:fldCharType="separate"/>
      </w:r>
      <w:r>
        <w:rPr/>
        <w:t>Таблица 1.1.6</w:t>
      </w:r>
      <w:r>
        <w:rPr/>
        <w:fldChar w:fldCharType="end"/>
      </w:r>
      <w:r>
        <w:rPr/>
        <w:t xml:space="preserve">. </w:t>
      </w:r>
    </w:p>
    <w:p>
      <w:pPr>
        <w:pStyle w:val="Style34"/>
        <w:rPr/>
      </w:pPr>
      <w:bookmarkStart w:id="26" w:name="_Ref155544607"/>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6</w:t>
      </w:r>
      <w:r>
        <w:rPr/>
        <w:fldChar w:fldCharType="end"/>
      </w:r>
      <w:bookmarkEnd w:id="26"/>
      <w:r>
        <w:rPr/>
        <w:t xml:space="preserve"> – Информация о насосных станциях 2-го и 3-го подъемов, эксплуатируемых ООО «ЭК»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395"/>
        <w:gridCol w:w="1461"/>
        <w:gridCol w:w="1018"/>
        <w:gridCol w:w="1052"/>
        <w:gridCol w:w="1920"/>
        <w:gridCol w:w="665"/>
        <w:gridCol w:w="1526"/>
        <w:gridCol w:w="1317"/>
      </w:tblGrid>
      <w:tr>
        <w:trPr>
          <w:tblHeader w:val="true"/>
          <w:trHeight w:val="20" w:hRule="atLeast"/>
        </w:trPr>
        <w:tc>
          <w:tcPr>
            <w:tcW w:w="395"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1461"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насосной станции</w:t>
            </w:r>
          </w:p>
        </w:tc>
        <w:tc>
          <w:tcPr>
            <w:tcW w:w="1018"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насосного агрегата</w:t>
            </w:r>
          </w:p>
        </w:tc>
        <w:tc>
          <w:tcPr>
            <w:tcW w:w="1052"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Марка насосного агрегата</w:t>
            </w:r>
          </w:p>
        </w:tc>
        <w:tc>
          <w:tcPr>
            <w:tcW w:w="1920"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Производительность,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/ч</w:t>
            </w:r>
          </w:p>
        </w:tc>
        <w:tc>
          <w:tcPr>
            <w:tcW w:w="665"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Напор, м</w:t>
            </w:r>
          </w:p>
        </w:tc>
        <w:tc>
          <w:tcPr>
            <w:tcW w:w="1526"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насосного агрегата</w:t>
            </w:r>
          </w:p>
        </w:tc>
        <w:tc>
          <w:tcPr>
            <w:tcW w:w="1317"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Мощность эл/двигателя, кВт</w:t>
            </w:r>
          </w:p>
        </w:tc>
      </w:tr>
      <w:tr>
        <w:trPr>
          <w:tblHeader w:val="true"/>
          <w:trHeight w:val="20" w:hRule="atLeast"/>
        </w:trPr>
        <w:tc>
          <w:tcPr>
            <w:tcW w:w="395" w:type="dxa"/>
            <w:tcBorders>
              <w:left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461"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018"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52"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920"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665"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526"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317" w:type="dxa"/>
            <w:tcBorders>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461" w:type="dxa"/>
            <w:vMerge w:val="restart"/>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Насосная станция 2-го подъема</w:t>
            </w:r>
          </w:p>
        </w:tc>
        <w:tc>
          <w:tcPr>
            <w:tcW w:w="1018"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052"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ЦНС-300-120</w:t>
            </w:r>
          </w:p>
        </w:tc>
        <w:tc>
          <w:tcPr>
            <w:tcW w:w="1920"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300</w:t>
            </w:r>
          </w:p>
        </w:tc>
        <w:tc>
          <w:tcPr>
            <w:tcW w:w="665"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526"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6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ЦНС-300-120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300</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6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ЦНС-300-120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300</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160</w:t>
            </w:r>
          </w:p>
        </w:tc>
      </w:tr>
      <w:tr>
        <w:trPr>
          <w:trHeight w:val="20" w:hRule="atLeast"/>
        </w:trPr>
        <w:tc>
          <w:tcPr>
            <w:tcW w:w="395" w:type="dxa"/>
            <w:vMerge w:val="restart"/>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461" w:type="dxa"/>
            <w:vMerge w:val="restart"/>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Насосная станция 3-го подъема</w:t>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 320-70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320</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r>
      <w:tr>
        <w:trPr>
          <w:trHeight w:val="20" w:hRule="atLeast"/>
        </w:trPr>
        <w:tc>
          <w:tcPr>
            <w:tcW w:w="39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6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 320-70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320</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r>
      <w:tr>
        <w:trPr>
          <w:trHeight w:val="20" w:hRule="atLeast"/>
        </w:trPr>
        <w:tc>
          <w:tcPr>
            <w:tcW w:w="39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6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 320-50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r>
      <w:tr>
        <w:trPr>
          <w:trHeight w:val="20" w:hRule="atLeast"/>
        </w:trPr>
        <w:tc>
          <w:tcPr>
            <w:tcW w:w="39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6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1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05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 320-50</w:t>
            </w:r>
          </w:p>
        </w:tc>
        <w:tc>
          <w:tcPr>
            <w:tcW w:w="1920"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w:t>
            </w:r>
          </w:p>
        </w:tc>
        <w:tc>
          <w:tcPr>
            <w:tcW w:w="66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52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c>
          <w:tcPr>
            <w:tcW w:w="131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r>
    </w:tbl>
    <w:p>
      <w:pPr>
        <w:pStyle w:val="Normal"/>
        <w:rPr/>
      </w:pPr>
      <w:r>
        <w:rPr/>
        <w:t>Качество воды всех подземных источников, обслуживаемых ООО «ЭК» соответствует требованиям [</w:t>
      </w:r>
      <w:r>
        <w:rPr/>
        <w:fldChar w:fldCharType="begin"/>
      </w:r>
      <w:r>
        <w:rPr/>
        <w:instrText xml:space="preserve"> REF _Ref156858215 \n \h </w:instrText>
      </w:r>
      <w:r>
        <w:rPr/>
        <w:fldChar w:fldCharType="separate"/>
      </w:r>
      <w:r>
        <w:rPr/>
        <w:t>17</w:t>
      </w:r>
      <w:r>
        <w:rPr/>
        <w:fldChar w:fldCharType="end"/>
      </w:r>
      <w:r>
        <w:rPr/>
        <w:t>]. Обеззараживание воды производится хлораторной установкой подачей гипохлорита натрия в резервуары запаса воды на насосной станции 3-го подъема. Контроль качества воды производится ФБУЗ «Центр гигиены и эпидемиологии в Кемеровской области».</w:t>
      </w:r>
    </w:p>
    <w:p>
      <w:pPr>
        <w:pStyle w:val="Normal"/>
        <w:rPr/>
      </w:pPr>
      <w:r>
        <w:rPr/>
        <w:t>В эксплуатационной зоне ООО «ЭК» на территории Беловского ГО функционирует 70,7 км водопроводных сетей, из них около ~80% выполнено из стали и около ~20% из ПВХ (поливинилхлорид). Водопроводные сети в основном были введены эксплуатацию в 1990–2010 годах, возраст около ~8% сетей водоснабжения составляет в районе 40 лет.</w:t>
      </w:r>
    </w:p>
    <w:p>
      <w:pPr>
        <w:pStyle w:val="Normal"/>
        <w:rPr/>
      </w:pPr>
      <w:r>
        <w:rPr/>
        <w:t xml:space="preserve">За период 2022–2023 годов в рамках исполнения инвестиционной программы ООО «ЭК» были выполнены следующие мероприятия: </w:t>
      </w:r>
    </w:p>
    <w:p>
      <w:pPr>
        <w:pStyle w:val="ListParagraph"/>
        <w:numPr>
          <w:ilvl w:val="0"/>
          <w:numId w:val="16"/>
        </w:numPr>
        <w:ind w:left="993" w:hanging="284"/>
        <w:rPr/>
      </w:pPr>
      <w:r>
        <w:rPr/>
        <w:t>Реконструкция водопроводной сети от ул. Комсомольская 17- ул. Комсомольской 1-ул. Шевцовой;</w:t>
      </w:r>
    </w:p>
    <w:p>
      <w:pPr>
        <w:pStyle w:val="ListParagraph"/>
        <w:numPr>
          <w:ilvl w:val="0"/>
          <w:numId w:val="16"/>
        </w:numPr>
        <w:ind w:left="993" w:hanging="284"/>
        <w:rPr/>
      </w:pPr>
      <w:r>
        <w:rPr/>
        <w:t>Реконструкция водопроводной сети от ул. Шевцовой до ул. Звездная пгт. Бачатский Кемеровской обл.</w:t>
      </w:r>
    </w:p>
    <w:p>
      <w:pPr>
        <w:pStyle w:val="Normal"/>
        <w:rPr/>
      </w:pPr>
      <w:r>
        <w:rPr/>
        <w:t xml:space="preserve">Сведения об установленных пожарных гидрантах на территории Беловского ГО приведены в таблице </w:t>
      </w:r>
      <w:r>
        <w:rPr/>
        <w:fldChar w:fldCharType="begin"/>
      </w:r>
      <w:r>
        <w:rPr/>
        <w:instrText xml:space="preserve"> REF _Ref156745396 \h </w:instrText>
      </w:r>
      <w:r>
        <w:rPr/>
        <w:fldChar w:fldCharType="separate"/>
      </w:r>
      <w:r>
        <w:rPr/>
        <w:t>Таблица 1.1.7</w:t>
      </w:r>
      <w:r>
        <w:rPr/>
        <w:fldChar w:fldCharType="end"/>
      </w:r>
      <w:r>
        <w:rPr/>
        <w:t xml:space="preserve">. </w:t>
      </w:r>
    </w:p>
    <w:p>
      <w:pPr>
        <w:pStyle w:val="Style34"/>
        <w:rPr/>
      </w:pPr>
      <w:bookmarkStart w:id="27" w:name="_Ref156826301"/>
      <w:bookmarkStart w:id="28" w:name="_Ref156745396"/>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7</w:t>
      </w:r>
      <w:r>
        <w:rPr/>
        <w:fldChar w:fldCharType="end"/>
      </w:r>
      <w:bookmarkEnd w:id="28"/>
      <w:r>
        <w:rPr/>
        <w:t xml:space="preserve"> – Сведения об установленных пожарных гидрантах на территории Беловского ГО</w:t>
      </w:r>
      <w:bookmarkEnd w:id="27"/>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18"/>
        <w:gridCol w:w="6715"/>
        <w:gridCol w:w="2022"/>
      </w:tblGrid>
      <w:tr>
        <w:trPr>
          <w:tblHeader w:val="true"/>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п.п.</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ПГ, адресная привязка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Диаметр сети</w:t>
            </w:r>
          </w:p>
        </w:tc>
      </w:tr>
      <w:tr>
        <w:trPr>
          <w:tblHeader w:val="true"/>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 мая: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74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103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106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129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135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3 микрорайон:</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 (со стороны д.№2)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 (внешний угол дома)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 (блок I)</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 (блок II)</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16 (справа от маг. «ЭКОНОМЬКА»)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17 (на площадке маг. «СКИФ»)</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26а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78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83 (Со стороны д.с. №110)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93</w:t>
            </w:r>
            <w:r>
              <w:rPr>
                <w:rFonts w:eastAsia="Times New Roman" w:cs="Times New Roman"/>
                <w:sz w:val="20"/>
                <w:szCs w:val="20"/>
                <w:vertAlign w:val="superscript"/>
                <w:lang w:eastAsia="ru-RU"/>
              </w:rPr>
              <w:t>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94 (около ограды школы)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94 (во дворе)</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98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104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 микрорайон:</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Апрельская №28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Раздольная,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Раздольная №9а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Бардина:</w:t>
              <w:br/>
              <w:t>№40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Дзержинского:</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54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136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142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146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156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203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Дорожная:</w:t>
              <w:br/>
              <w:t>№8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Железнодорожная: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32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54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56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Жукова:</w:t>
              <w:br/>
              <w:t>№38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Каховская:</w:t>
              <w:br/>
              <w:t>№37Б</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Коммунистическая:</w:t>
              <w:br/>
              <w:t>№40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Ленина: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70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Маркса:</w:t>
              <w:br/>
              <w:t>№12 (у прокуратуры)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Московская: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30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Октябрьская: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 ранее не учтен</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29 (остановка «Рубин»)</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35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Пролетарская: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183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Пушкина: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196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284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Советская: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55 (на аллее)</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67 (на аллее)</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Сосновый квартал:</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2Б (во дворе)</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2Б (с восточной стороны)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4/1 (во дворе)</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4/1 (с восточной стороны)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Спортивный переулок:</w:t>
              <w:br/>
              <w:t>№1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Суворова: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61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71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Толстого переулок:</w:t>
              <w:br/>
              <w:t>№13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Цимлянская:</w:t>
              <w:br/>
              <w:t>№58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Цинкзаводской переулок:</w:t>
              <w:br/>
              <w:t>№8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Юбилейная:</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ранее не учтен</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14 (с северо-восточной стороны)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14 (с юго-западной стороны)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Юности:</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10а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w:t>
            </w:r>
            <w:r>
              <w:rPr>
                <w:rFonts w:eastAsia="Times New Roman" w:cs="Times New Roman"/>
                <w:sz w:val="20"/>
                <w:szCs w:val="20"/>
                <w:lang w:eastAsia="ru-RU"/>
              </w:rPr>
              <w:t>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«Треугольник»:</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Береговая</w:t>
              <w:br/>
              <w:t>№6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400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Щетинкина</w:t>
              <w:br/>
              <w:t>№45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ул. Аэродромная 10 </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Аэродромная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 Люксембург 33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№2 К – 150 мм</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Казлова-16 (напротив псих. диспансера)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№35 К – 150 мм</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Чкалова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Т – 100 мм</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ПУ №86</w:t>
              <w:br/>
              <w:t>ул. П. Морозова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К – 150 мм</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Новая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К – 200 мм</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 Люксембург 34Г (возле энергосбыта)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З Космодемьянской 109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ПГ №1 </w:t>
            </w:r>
          </w:p>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К.Маркса,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не учтен раннее</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17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25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33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Ермака, 16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39 № 33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Ермака, 20 № 39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Седова,22 № 54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Прежевальского,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Гастелло, 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Гастелло, 29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Мира, 97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Мусоргского,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12Б</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Герцена, 121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50А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7 № 97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Седова, 40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Седова, 60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Гражданская, 16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Тухачевского,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Киевская, 54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Мусоргского,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Цветаевой, 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Н-Городок, ул. Глинки,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 Городок, ул. Репино, 90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Н- Городок, ул. Комсомольская, 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ИНСКОЙ</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Воровского</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Дунаевского,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Дунаевского, 34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10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30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31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Ильича, 32 (БлПК)</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Илькаева,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Инская, 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Инская, 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Инская,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Инская, 17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Инская,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Короленко,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Короленко, 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Короленко, 43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Короленко, 61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Липецкая,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Липецкая,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Липецкая,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Парковая,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Парковая, 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Парковая,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Приморская,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Приморская, 18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Приморская, 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Приморская, 25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Тобольская,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Тобольская,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Тобольская, 19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Тобольская, 32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48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49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52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65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Тюленина, 70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Ульяновская, 1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Фасадная,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Фасадная, 18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Чайковского,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Чистопольская,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Чистопольская,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Чистопольская, 62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Энергетическая, 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Энергетическая, 16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Энергетическая,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Энергетическая, 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Грамотеино </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середина дома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с угла дом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ПГ-4</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ПГ-5</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9 середина дома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ПГ-8</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 лет ВЛКСМ, дом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ПГ-9</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ПГ-10</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ПГ-11</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ПГ-12</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36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ПГ-13</w:t>
              <w:b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7-Ноября дом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ПГ-14</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Береговая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ПГ-15</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Чкалова 1 (д. Грамотеино)</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ПГ-16</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Грамотеинская дом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ПГ-17</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Магистральная дом 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ПГ-18</w:t>
              <w:b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Грамотеинская дом 35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ПГ-19</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Грамотеинская дом 46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ПГ-20</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Микрорайон Ивушка дом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ПГ-21</w:t>
              <w:b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Микрорайон Ивушка дом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ПГ-22</w:t>
              <w:b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Школьная 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ПГ-23</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Центральная 80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ПГ-24</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Центральная 76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ПГ-25</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Красная 39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ПГ-26</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 пересечение ул. Фурманова 3 и ул. Маяковского 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ПГ-27</w:t>
              <w:b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Мира дом 33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ПГ-28</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Пушкина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ПГ-29</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Пожарные краны</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Колмогоровская, дом 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 ПЧ-2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18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с угла дома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с угла дома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Светлая дом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дом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дом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дом 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ПК-21 </w:t>
            </w:r>
          </w:p>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дом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ПК-22 </w:t>
            </w:r>
          </w:p>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60-лет ВЛКСМ, дом 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ПК-23 </w:t>
            </w:r>
          </w:p>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ул. 60-лет ВЛКСМ, дом 11 </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ПК-24 </w:t>
            </w:r>
          </w:p>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пгт. Бачатский ул. 50 лет Октября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23 Детский сад №42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27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28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Березовая 38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Ижевская 65/2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ул. Комсомольская 10 </w:t>
              <w:br/>
              <w:t>АБК ЖКХ</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19а</w:t>
              <w:br/>
              <w:t>АБК разреза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40</w:t>
              <w:br/>
              <w:t>АТС</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67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19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22а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250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33</w:t>
              <w:br/>
              <w:t>КЦ «Бачатский»</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49</w:t>
              <w:br/>
              <w:t>Лицей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58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59</w:t>
              <w:br/>
              <w:t>стадион</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63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66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67</w:t>
              <w:br/>
              <w:t>Д/с №62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71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300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Л. Шевцовой 73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Мартовская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Мартовская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Подольская 19а</w:t>
              <w:br/>
              <w:t>Д/с №56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Рябиновая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Яблоневая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Рокосовского 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Рябиновая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Яблоневая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103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105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116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Греческая деревня дом 120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п. Финский дом 20 </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мкр. Бабанаково</w:t>
              <w:br/>
              <w:t>ул. Артема 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Артема 15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 Хмельницкого 11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 Хмельницкого 29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ПГ-4</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 Хмельницкого 31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ПГ-5</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 Хмельницкого 35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 Хмельницкого 45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Вахрушева 20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ПГ-8</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Володарского 11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ПГ-9</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Володарского 72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ПГ-10</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Володарского 94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ПГ-11</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Доватора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ПГ-12</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Доватора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ПГ-13</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Жданова 9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ПГ-14</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Жданова 25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ПГ-15</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И. Сусанина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ПГ-16</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Озерная 22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ПГ-17</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Озерная 154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ПГ-18</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Озерная 184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ПГ-19</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Озерная 293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ПГ-20</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Пионерская 11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ПГ-21</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пер. Пионерский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ПГ-22</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Старченко 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ПГ-23</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Старченко 39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ПГ-24</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Степана Разина 2 «б»</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ПГ-25</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Строителей 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ПГ-26</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У. Громовой 68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ПГ-27</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Черняховского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ПГ-28</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Черняховского 23</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ПГ-29</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Ватутина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ПГ-74</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1-й Телеут 8 «а»</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ПГ-30</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2-й Телеут 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ПГ-31</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3-й Телеут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ПГ-32</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4-й Телеут 17</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ПГ-33</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5-й Телеут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ПГ-34</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5-й Телеут 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ПГ-35</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5-й Телеут 29</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ПГ-36</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7-й Телеут 48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ПГ-37</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8 Марта, ул. 1-я Боевая 71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ПГ-38</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8 Марта, ул. 1-я Рыбалка 108 (район д.106)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ПГ-39</w:t>
              <w:br/>
              <w:t>К – 100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8 Марта, ул. 8 Марта, 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ПГ-40</w:t>
              <w:br/>
              <w:t>К – 150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Победы, 21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ПГ-61</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О. Кошевого, 14-1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ПГ-62</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Южная, 16-2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ПГ-63</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Южная, 5-1</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ПГ-64</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340</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Волжская, 44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ПГ-65</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341</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Волжская, 18</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ПГ-66</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342</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Достоевского, 110</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ПГ-67</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343</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Минина, 45</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ПГ-68</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344</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5 Рудничная, 55 (район д. 64)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ПГ-69</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345</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Победы, 26</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ПГ-70</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346</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Монтажная, 7-2</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ПГ-71</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347</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Енисейская, 14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ПГ-72</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348</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Красноярская, 24</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ПГ-73</w:t>
              <w:br/>
              <w:t>К – 200</w:t>
            </w:r>
          </w:p>
        </w:tc>
      </w:tr>
      <w:tr>
        <w:trPr>
          <w:trHeight w:val="20" w:hRule="atLeast"/>
        </w:trPr>
        <w:tc>
          <w:tcPr>
            <w:tcW w:w="6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349</w:t>
            </w:r>
          </w:p>
        </w:tc>
        <w:tc>
          <w:tcPr>
            <w:tcW w:w="67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Чертинский, ул. Южная, 4а (напротив АЗС Баррель)</w:t>
            </w:r>
          </w:p>
        </w:tc>
        <w:tc>
          <w:tcPr>
            <w:tcW w:w="20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 не учтен ранее</w:t>
            </w:r>
          </w:p>
        </w:tc>
      </w:tr>
    </w:tbl>
    <w:p>
      <w:pPr>
        <w:pStyle w:val="Normal"/>
        <w:rPr/>
      </w:pPr>
      <w:r>
        <w:rPr/>
        <w:t xml:space="preserve">Всего на территории Беловского ГО установлено 349 пожарных гидрантов. </w:t>
      </w:r>
    </w:p>
    <w:p>
      <w:pPr>
        <w:pStyle w:val="Normal"/>
        <w:rPr/>
      </w:pPr>
      <w:r>
        <w:rPr/>
        <w:t xml:space="preserve">Расположение ПГ, описание которых представлено в таблице </w:t>
      </w:r>
      <w:r>
        <w:rPr/>
        <w:fldChar w:fldCharType="begin"/>
      </w:r>
      <w:r>
        <w:rPr/>
        <w:instrText xml:space="preserve"> REF _Ref156826301 \p \h </w:instrText>
      </w:r>
      <w:r>
        <w:rPr/>
        <w:fldChar w:fldCharType="separate"/>
      </w:r>
      <w:r>
        <w:rPr/>
        <w:t>выше</w:t>
      </w:r>
      <w:r>
        <w:rPr/>
        <w:fldChar w:fldCharType="end"/>
      </w:r>
      <w:r>
        <w:rPr/>
        <w:t xml:space="preserve">, приведено в составе электронной гидравлической модели систем водоснабжения и водоотведения Беловского ГО и на рисунках </w:t>
      </w:r>
      <w:r>
        <w:rPr/>
        <w:fldChar w:fldCharType="begin"/>
      </w:r>
      <w:r>
        <w:rPr/>
        <w:instrText xml:space="preserve"> REF _Ref156857249 \h </w:instrText>
      </w:r>
      <w:r>
        <w:rPr/>
        <w:fldChar w:fldCharType="separate"/>
      </w:r>
      <w:r>
        <w:rPr/>
        <w:t>Рисунок 1.1.5</w:t>
      </w:r>
      <w:r>
        <w:rPr/>
        <w:fldChar w:fldCharType="end"/>
      </w:r>
      <w:r>
        <w:rPr/>
        <w:t>–</w:t>
      </w:r>
      <w:r>
        <w:rPr/>
        <w:fldChar w:fldCharType="begin"/>
      </w:r>
      <w:r>
        <w:rPr/>
        <w:instrText xml:space="preserve"> REF _Ref156857255 \h </w:instrText>
      </w:r>
      <w:r>
        <w:rPr/>
        <w:fldChar w:fldCharType="separate"/>
      </w:r>
      <w:r>
        <w:rPr/>
        <w:t>Рисунок 1.1.8</w:t>
      </w:r>
      <w:r>
        <w:rPr/>
        <w:fldChar w:fldCharType="end"/>
      </w:r>
      <w:r>
        <w:rPr/>
        <w:t xml:space="preserve">. </w:t>
      </w:r>
    </w:p>
    <w:p>
      <w:pPr>
        <w:pStyle w:val="Normal"/>
        <w:rPr/>
      </w:pPr>
      <w:r>
        <w:rPr/>
        <w:t xml:space="preserve">В отношении пожарных гидрантов, находящихся в эксплуатационной зоне ООО «ЭК», были произведены осмотр технического состояния и испытание на водоотдачу, результаты которых приведены в составе </w:t>
      </w:r>
      <w:hyperlink w:anchor="ПриложениеП1">
        <w:r>
          <w:rPr>
            <w:rStyle w:val="-"/>
          </w:rPr>
          <w:t>Приложения П-1</w:t>
        </w:r>
      </w:hyperlink>
      <w:r>
        <w:rPr/>
        <w:t xml:space="preserve"> настоящей работы. </w:t>
      </w:r>
    </w:p>
    <w:p>
      <w:pPr>
        <w:pStyle w:val="3"/>
        <w:rPr/>
      </w:pPr>
      <w:bookmarkStart w:id="29" w:name="_Toc158814554"/>
      <w:r>
        <w:rPr/>
        <w:t>Описание территорий поселения, городского округа, не охваченных централизованными системами водоснабжения</w:t>
      </w:r>
      <w:bookmarkEnd w:id="29"/>
    </w:p>
    <w:p>
      <w:pPr>
        <w:pStyle w:val="Normal"/>
        <w:rPr/>
      </w:pPr>
      <w:r>
        <w:rPr/>
        <w:t xml:space="preserve">Определение централизованной системы холодного водоснабжения приведено в составе </w:t>
      </w:r>
      <w:hyperlink w:anchor="_Описание_системы_и">
        <w:r>
          <w:rPr>
            <w:rStyle w:val="-"/>
          </w:rPr>
          <w:t>подраздела 1.1.1</w:t>
        </w:r>
      </w:hyperlink>
      <w:r>
        <w:rPr/>
        <w:t>. Кроме того, в статье 2 главы 1 [</w:t>
      </w:r>
      <w:r>
        <w:rPr/>
        <w:fldChar w:fldCharType="begin"/>
      </w:r>
      <w:r>
        <w:rPr/>
        <w:instrText xml:space="preserve"> REF _Ref154925037 \n \h </w:instrText>
      </w:r>
      <w:r>
        <w:rPr/>
        <w:fldChar w:fldCharType="separate"/>
      </w:r>
      <w:r>
        <w:rPr/>
        <w:t>2</w:t>
      </w:r>
      <w:r>
        <w:rPr/>
        <w:fldChar w:fldCharType="end"/>
      </w:r>
      <w:r>
        <w:rPr/>
        <w:t>] приводится следующее определение:</w:t>
      </w:r>
    </w:p>
    <w:p>
      <w:pPr>
        <w:pStyle w:val="ListParagraph"/>
        <w:numPr>
          <w:ilvl w:val="0"/>
          <w:numId w:val="9"/>
        </w:numPr>
        <w:ind w:left="993" w:hanging="284"/>
        <w:rPr/>
      </w:pPr>
      <w:r>
        <w:rPr/>
        <w:t xml:space="preserve">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 </w:t>
      </w:r>
    </w:p>
    <w:p>
      <w:pPr>
        <w:pStyle w:val="Normal"/>
        <w:rPr/>
      </w:pPr>
      <w:r>
        <w:rPr/>
        <w:t>На территории Беловского ГО отсутствуют населенные пункты, не охваченные централизованными системами водоснабжения. Часть индивидуальной жилой застройки обеспечивается водой посредством индивидуальных источников водоснабжения (шахтные колодцы, индивидуальные скважины, родники и пр.).</w:t>
      </w:r>
    </w:p>
    <w:p>
      <w:pPr>
        <w:pStyle w:val="3"/>
        <w:rPr/>
      </w:pPr>
      <w:bookmarkStart w:id="30" w:name="_Toc158814555"/>
      <w:bookmarkStart w:id="31" w:name="_Описание_технологических_зон"/>
      <w:bookmarkEnd w:id="31"/>
      <w:r>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30"/>
    </w:p>
    <w:p>
      <w:pPr>
        <w:pStyle w:val="Normal"/>
        <w:rPr/>
      </w:pPr>
      <w:r>
        <w:rPr/>
        <w:t xml:space="preserve">Определение централизованной системы холодного водоснабжения приведено в составе </w:t>
      </w:r>
      <w:hyperlink w:anchor="_Описание_системы_и">
        <w:r>
          <w:rPr>
            <w:rStyle w:val="-"/>
          </w:rPr>
          <w:t>подраздела 1.1.1</w:t>
        </w:r>
      </w:hyperlink>
      <w:r>
        <w:rPr/>
        <w:t>. Кроме того, пунктом 2 [</w:t>
      </w:r>
      <w:r>
        <w:rPr>
          <w:lang w:val="en-US"/>
        </w:rPr>
        <w:fldChar w:fldCharType="begin"/>
      </w:r>
      <w:r>
        <w:rPr>
          <w:lang w:val="en-US"/>
        </w:rPr>
        <w:instrText xml:space="preserve"> REF _Ref154925043 \n \h </w:instrText>
      </w:r>
      <w:r>
        <w:rPr>
          <w:lang w:val="en-US"/>
        </w:rPr>
        <w:fldChar w:fldCharType="separate"/>
      </w:r>
      <w:r>
        <w:rPr>
          <w:lang w:val="en-US"/>
        </w:rPr>
        <w:t>3</w:t>
      </w:r>
      <w:r>
        <w:rPr>
          <w:lang w:val="en-US"/>
        </w:rPr>
        <w:fldChar w:fldCharType="end"/>
      </w:r>
      <w:r>
        <w:rPr/>
        <w:t xml:space="preserve">] введено следующее понятие: </w:t>
      </w:r>
    </w:p>
    <w:p>
      <w:pPr>
        <w:pStyle w:val="ListParagraph"/>
        <w:numPr>
          <w:ilvl w:val="0"/>
          <w:numId w:val="9"/>
        </w:numPr>
        <w:ind w:left="993" w:hanging="284"/>
        <w:rPr/>
      </w:pPr>
      <w:r>
        <w:rPr/>
        <w:t xml:space="preserve">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pPr>
        <w:pStyle w:val="Normal"/>
        <w:rPr/>
      </w:pPr>
      <w:r>
        <w:rPr/>
        <w:t>На основании представленных выше понятий и определений следует сделать вывод о том, что в границах действия одной ЦС ХВС может быть выделено как несколько ТЗ ВС, разграничиваемых по признаку принадлежности (эксплуатационной ответственности) объектов централизованных систем водоснабжения к той или иной организации ВКХ, так и одна ТЗ ВС, если все входящие в ЦС ХВС объекты централизованных систем водоснабжения находятся в зоне эксплуатационной ответственности одной организации ВКХ (при соблюдении нормативных значений напора (давления) воды при подаче ее потребителям в соответствии с расчетным расходом воды).</w:t>
      </w:r>
    </w:p>
    <w:p>
      <w:pPr>
        <w:pStyle w:val="Normal"/>
        <w:rPr/>
      </w:pPr>
      <w:r>
        <w:rPr/>
        <w:t xml:space="preserve">На территории Беловского ГО выделены 3 технологические зоны водоснабжения, которые полностью совпадают с ЦС ХВС и эксплуатационными зонами организаций ВКХ, описание которых приведено в составе подраздела 1.1.1. </w:t>
      </w:r>
    </w:p>
    <w:p>
      <w:pPr>
        <w:pStyle w:val="Normal"/>
        <w:rPr/>
      </w:pPr>
      <w:r>
        <w:rPr/>
        <w:t xml:space="preserve">Краткая характеристика ТЗ ВС Беловского ГО представлена в таблице </w:t>
      </w:r>
      <w:r>
        <w:rPr/>
        <w:fldChar w:fldCharType="begin"/>
      </w:r>
      <w:r>
        <w:rPr/>
        <w:instrText xml:space="preserve"> REF _Ref156748563 \h </w:instrText>
      </w:r>
      <w:r>
        <w:rPr/>
        <w:fldChar w:fldCharType="separate"/>
      </w:r>
      <w:r>
        <w:rPr/>
        <w:t>Таблица 1.1.8</w:t>
      </w:r>
      <w:r>
        <w:rPr/>
        <w:fldChar w:fldCharType="end"/>
      </w:r>
      <w:r>
        <w:rPr/>
        <w:t xml:space="preserve">. </w:t>
      </w:r>
    </w:p>
    <w:p>
      <w:pPr>
        <w:pStyle w:val="Style34"/>
        <w:rPr/>
      </w:pPr>
      <w:bookmarkStart w:id="32" w:name="_Ref156748563"/>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8</w:t>
      </w:r>
      <w:r>
        <w:rPr/>
        <w:fldChar w:fldCharType="end"/>
      </w:r>
      <w:bookmarkEnd w:id="32"/>
      <w:r>
        <w:rPr/>
        <w:t xml:space="preserve"> – Краткая характеристика ТЗ ВС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26"/>
        <w:gridCol w:w="1863"/>
        <w:gridCol w:w="2025"/>
        <w:gridCol w:w="5040"/>
      </w:tblGrid>
      <w:tr>
        <w:trPr>
          <w:tblHeader w:val="true"/>
          <w:trHeight w:val="20" w:hRule="atLeast"/>
        </w:trPr>
        <w:tc>
          <w:tcPr>
            <w:tcW w:w="4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п.п.</w:t>
            </w:r>
          </w:p>
        </w:tc>
        <w:tc>
          <w:tcPr>
            <w:tcW w:w="186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Наименование ТЗ ВС</w:t>
            </w:r>
          </w:p>
        </w:tc>
        <w:tc>
          <w:tcPr>
            <w:tcW w:w="202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Источник питьевого водоснабжения</w:t>
            </w:r>
          </w:p>
        </w:tc>
        <w:tc>
          <w:tcPr>
            <w:tcW w:w="50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Обслуживаемые районы Беловского ГО</w:t>
            </w:r>
          </w:p>
        </w:tc>
      </w:tr>
      <w:tr>
        <w:trPr>
          <w:tblHeader w:val="true"/>
          <w:trHeight w:val="20" w:hRule="atLeast"/>
        </w:trPr>
        <w:tc>
          <w:tcPr>
            <w:tcW w:w="4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186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50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r>
      <w:tr>
        <w:trPr>
          <w:trHeight w:val="20" w:hRule="atLeast"/>
        </w:trPr>
        <w:tc>
          <w:tcPr>
            <w:tcW w:w="42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186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ТЗ ВС ООО «Водоснабжение»</w:t>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Инской водозабор</w:t>
            </w:r>
          </w:p>
        </w:tc>
        <w:tc>
          <w:tcPr>
            <w:tcW w:w="50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г. Белово: центральная часть; 3, 4, 6 мкр.; квартал «Сосновый»; мкр. Бабанаково; мкр. Чертинский; мкр. Старо-Белово; мкр. Телеут; мкр. 8-е марта; пгт. Инской; пгт. Новый Городок; с. Заречное</w:t>
            </w:r>
          </w:p>
        </w:tc>
      </w:tr>
      <w:tr>
        <w:trPr>
          <w:trHeight w:val="20" w:hRule="atLeast"/>
        </w:trPr>
        <w:tc>
          <w:tcPr>
            <w:tcW w:w="42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86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Уропский водозабор</w:t>
            </w:r>
          </w:p>
        </w:tc>
        <w:tc>
          <w:tcPr>
            <w:tcW w:w="504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r>
      <w:tr>
        <w:trPr>
          <w:trHeight w:val="20" w:hRule="atLeast"/>
        </w:trPr>
        <w:tc>
          <w:tcPr>
            <w:tcW w:w="42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86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Хахалинский водозабор</w:t>
            </w:r>
          </w:p>
        </w:tc>
        <w:tc>
          <w:tcPr>
            <w:tcW w:w="504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r>
      <w:tr>
        <w:trPr>
          <w:trHeight w:val="20" w:hRule="atLeast"/>
        </w:trPr>
        <w:tc>
          <w:tcPr>
            <w:tcW w:w="42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86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Каменский водозабор</w:t>
            </w:r>
          </w:p>
        </w:tc>
        <w:tc>
          <w:tcPr>
            <w:tcW w:w="50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мкн. Радужный, пгт. Новый Городок</w:t>
            </w:r>
          </w:p>
        </w:tc>
      </w:tr>
      <w:tr>
        <w:trPr>
          <w:trHeight w:val="20" w:hRule="atLeast"/>
        </w:trPr>
        <w:tc>
          <w:tcPr>
            <w:tcW w:w="4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186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ТЗ ВС МУП «Водоканал»</w:t>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Покупная вода, приобретаемая у ООО «СКЭК»</w:t>
            </w:r>
          </w:p>
        </w:tc>
        <w:tc>
          <w:tcPr>
            <w:tcW w:w="50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пгт. Грамотеино; д. Грамотеино</w:t>
            </w:r>
          </w:p>
        </w:tc>
      </w:tr>
      <w:tr>
        <w:trPr>
          <w:trHeight w:val="20" w:hRule="atLeast"/>
        </w:trPr>
        <w:tc>
          <w:tcPr>
            <w:tcW w:w="42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186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ТЗ ВС ООО «ЭК»</w:t>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Мамонтовский водозабор</w:t>
            </w:r>
          </w:p>
        </w:tc>
        <w:tc>
          <w:tcPr>
            <w:tcW w:w="504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пгт. Бачатский; мкр. Финский</w:t>
            </w:r>
          </w:p>
        </w:tc>
      </w:tr>
      <w:tr>
        <w:trPr>
          <w:trHeight w:val="20" w:hRule="atLeast"/>
        </w:trPr>
        <w:tc>
          <w:tcPr>
            <w:tcW w:w="42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86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Сухореченский водозабор</w:t>
            </w:r>
          </w:p>
        </w:tc>
        <w:tc>
          <w:tcPr>
            <w:tcW w:w="504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r>
      <w:tr>
        <w:trPr>
          <w:trHeight w:val="20" w:hRule="atLeast"/>
        </w:trPr>
        <w:tc>
          <w:tcPr>
            <w:tcW w:w="42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86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0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Бачатский водозабор</w:t>
            </w:r>
          </w:p>
        </w:tc>
        <w:tc>
          <w:tcPr>
            <w:tcW w:w="504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r>
    </w:tbl>
    <w:p>
      <w:pPr>
        <w:pStyle w:val="Normal"/>
        <w:rPr/>
      </w:pPr>
      <w:r>
        <w:rPr/>
        <w:t xml:space="preserve">Картосхемы ТЗ ВС Беловского ГО приведены на рисунках </w:t>
      </w:r>
      <w:r>
        <w:rPr/>
        <w:fldChar w:fldCharType="begin"/>
      </w:r>
      <w:r>
        <w:rPr/>
        <w:instrText xml:space="preserve"> REF _Ref156857249 \h </w:instrText>
      </w:r>
      <w:r>
        <w:rPr/>
        <w:fldChar w:fldCharType="separate"/>
      </w:r>
      <w:r>
        <w:rPr/>
        <w:t>Рисунок 1.1.5</w:t>
      </w:r>
      <w:r>
        <w:rPr/>
        <w:fldChar w:fldCharType="end"/>
      </w:r>
      <w:r>
        <w:rPr/>
        <w:t>–</w:t>
      </w:r>
      <w:r>
        <w:rPr/>
        <w:fldChar w:fldCharType="begin"/>
      </w:r>
      <w:r>
        <w:rPr/>
        <w:instrText xml:space="preserve"> REF _Ref156857255 \h </w:instrText>
      </w:r>
      <w:r>
        <w:rPr/>
        <w:fldChar w:fldCharType="separate"/>
      </w:r>
      <w:r>
        <w:rPr/>
        <w:t>Рисунок 1.1.8</w:t>
      </w:r>
      <w:r>
        <w:rPr/>
        <w:fldChar w:fldCharType="end"/>
      </w:r>
      <w:r>
        <w:rPr/>
        <w:t xml:space="preserve">. </w:t>
      </w:r>
    </w:p>
    <w:p>
      <w:pPr>
        <w:pStyle w:val="Style26"/>
        <w:rPr/>
      </w:pPr>
      <w:r>
        <w:rPr/>
        <w:drawing>
          <wp:inline distT="0" distB="0" distL="0" distR="0">
            <wp:extent cx="5940425" cy="8870950"/>
            <wp:effectExtent l="0" t="0" r="0" b="0"/>
            <wp:docPr id="7"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8" descr=""/>
                    <pic:cNvPicPr>
                      <a:picLocks noChangeAspect="1" noChangeArrowheads="1"/>
                    </pic:cNvPicPr>
                  </pic:nvPicPr>
                  <pic:blipFill>
                    <a:blip r:embed="rId16"/>
                    <a:stretch>
                      <a:fillRect/>
                    </a:stretch>
                  </pic:blipFill>
                  <pic:spPr bwMode="auto">
                    <a:xfrm>
                      <a:off x="0" y="0"/>
                      <a:ext cx="5940425" cy="8870950"/>
                    </a:xfrm>
                    <a:prstGeom prst="rect">
                      <a:avLst/>
                    </a:prstGeom>
                  </pic:spPr>
                </pic:pic>
              </a:graphicData>
            </a:graphic>
          </wp:inline>
        </w:drawing>
      </w:r>
    </w:p>
    <w:p>
      <w:pPr>
        <w:sectPr>
          <w:footerReference w:type="default" r:id="rId17"/>
          <w:footerReference w:type="first" r:id="rId18"/>
          <w:type w:val="nextPage"/>
          <w:pgSz w:w="11906" w:h="16838"/>
          <w:pgMar w:left="1701" w:right="850" w:gutter="0" w:header="0" w:top="1134" w:footer="708" w:bottom="1134"/>
          <w:pgNumType w:fmt="decimal"/>
          <w:formProt w:val="false"/>
          <w:textDirection w:val="lrTb"/>
          <w:docGrid w:type="default" w:linePitch="360" w:charSpace="0"/>
        </w:sectPr>
        <w:pStyle w:val="Caption"/>
        <w:rPr/>
      </w:pPr>
      <w:bookmarkStart w:id="33" w:name="_Ref156857249"/>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5</w:t>
      </w:r>
      <w:r>
        <w:rPr/>
        <w:fldChar w:fldCharType="end"/>
      </w:r>
      <w:bookmarkEnd w:id="33"/>
      <w:r>
        <w:rPr/>
        <w:t xml:space="preserve"> – Картосхема ТЗ ВС ООО «Водоснабжение» (лист 1)</w:t>
      </w:r>
    </w:p>
    <w:p>
      <w:pPr>
        <w:pStyle w:val="Style26"/>
        <w:rPr/>
      </w:pPr>
      <w:r>
        <w:rPr/>
        <w:drawing>
          <wp:inline distT="0" distB="0" distL="0" distR="0">
            <wp:extent cx="9251950" cy="4259580"/>
            <wp:effectExtent l="0" t="0" r="0" b="0"/>
            <wp:docPr id="8"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0" descr=""/>
                    <pic:cNvPicPr>
                      <a:picLocks noChangeAspect="1" noChangeArrowheads="1"/>
                    </pic:cNvPicPr>
                  </pic:nvPicPr>
                  <pic:blipFill>
                    <a:blip r:embed="rId19"/>
                    <a:stretch>
                      <a:fillRect/>
                    </a:stretch>
                  </pic:blipFill>
                  <pic:spPr bwMode="auto">
                    <a:xfrm>
                      <a:off x="0" y="0"/>
                      <a:ext cx="9251950" cy="4259580"/>
                    </a:xfrm>
                    <a:prstGeom prst="rect">
                      <a:avLst/>
                    </a:prstGeom>
                  </pic:spPr>
                </pic:pic>
              </a:graphicData>
            </a:graphic>
          </wp:inline>
        </w:drawing>
      </w:r>
    </w:p>
    <w:p>
      <w:pPr>
        <w:pStyle w:val="Caption"/>
        <w:rPr/>
      </w:pPr>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6</w:t>
      </w:r>
      <w:r>
        <w:rPr/>
        <w:fldChar w:fldCharType="end"/>
      </w:r>
      <w:r>
        <w:rPr/>
        <w:t xml:space="preserve"> – Картосхема ТЗ ВС ООО «Водоснабжение» (лист 2)</w:t>
      </w:r>
    </w:p>
    <w:p>
      <w:pPr>
        <w:pStyle w:val="Style26"/>
        <w:rPr/>
      </w:pPr>
      <w:r>
        <w:rPr/>
        <w:drawing>
          <wp:inline distT="0" distB="0" distL="0" distR="0">
            <wp:extent cx="6857365" cy="5615940"/>
            <wp:effectExtent l="0" t="0" r="0" b="0"/>
            <wp:docPr id="9"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4" descr=""/>
                    <pic:cNvPicPr>
                      <a:picLocks noChangeAspect="1" noChangeArrowheads="1"/>
                    </pic:cNvPicPr>
                  </pic:nvPicPr>
                  <pic:blipFill>
                    <a:blip r:embed="rId20"/>
                    <a:srcRect l="0" t="0" r="10668" b="0"/>
                    <a:stretch>
                      <a:fillRect/>
                    </a:stretch>
                  </pic:blipFill>
                  <pic:spPr bwMode="auto">
                    <a:xfrm>
                      <a:off x="0" y="0"/>
                      <a:ext cx="6857365" cy="5615940"/>
                    </a:xfrm>
                    <a:prstGeom prst="rect">
                      <a:avLst/>
                    </a:prstGeom>
                    <a:ln w="9525">
                      <a:solidFill>
                        <a:srgbClr val="000000"/>
                      </a:solidFill>
                    </a:ln>
                  </pic:spPr>
                </pic:pic>
              </a:graphicData>
            </a:graphic>
          </wp:inline>
        </w:drawing>
      </w:r>
    </w:p>
    <w:p>
      <w:pPr>
        <w:sectPr>
          <w:footerReference w:type="default" r:id="rId21"/>
          <w:footerReference w:type="first" r:id="rId22"/>
          <w:type w:val="nextPage"/>
          <w:pgSz w:orient="landscape" w:w="16838" w:h="11906"/>
          <w:pgMar w:left="1134" w:right="1134" w:gutter="0" w:header="0" w:top="1701" w:footer="708" w:bottom="850"/>
          <w:pgNumType w:fmt="decimal"/>
          <w:formProt w:val="false"/>
          <w:textDirection w:val="lrTb"/>
          <w:docGrid w:type="default" w:linePitch="360" w:charSpace="0"/>
        </w:sectPr>
        <w:pStyle w:val="Caption"/>
        <w:rPr/>
      </w:pPr>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7</w:t>
      </w:r>
      <w:r>
        <w:rPr/>
        <w:fldChar w:fldCharType="end"/>
      </w:r>
      <w:r>
        <w:rPr/>
        <w:t xml:space="preserve"> – Картосхема ТЗ ВС МУП «Водоканал»</w:t>
      </w:r>
    </w:p>
    <w:p>
      <w:pPr>
        <w:pStyle w:val="Style26"/>
        <w:rPr/>
      </w:pPr>
      <w:r>
        <w:rPr/>
        <w:drawing>
          <wp:inline distT="0" distB="0" distL="0" distR="0">
            <wp:extent cx="5940425" cy="8400415"/>
            <wp:effectExtent l="0" t="0" r="0" b="0"/>
            <wp:docPr id="10"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7" descr=""/>
                    <pic:cNvPicPr>
                      <a:picLocks noChangeAspect="1" noChangeArrowheads="1"/>
                    </pic:cNvPicPr>
                  </pic:nvPicPr>
                  <pic:blipFill>
                    <a:blip r:embed="rId23"/>
                    <a:stretch>
                      <a:fillRect/>
                    </a:stretch>
                  </pic:blipFill>
                  <pic:spPr bwMode="auto">
                    <a:xfrm>
                      <a:off x="0" y="0"/>
                      <a:ext cx="5940425" cy="8400415"/>
                    </a:xfrm>
                    <a:prstGeom prst="rect">
                      <a:avLst/>
                    </a:prstGeom>
                  </pic:spPr>
                </pic:pic>
              </a:graphicData>
            </a:graphic>
          </wp:inline>
        </w:drawing>
      </w:r>
    </w:p>
    <w:p>
      <w:pPr>
        <w:pStyle w:val="Caption"/>
        <w:rPr/>
      </w:pPr>
      <w:bookmarkStart w:id="34" w:name="_Ref156857255"/>
      <w:r>
        <w:rPr/>
        <w:t xml:space="preserve">Рисунок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Рисунок \* ARABIC </w:instrText>
      </w:r>
      <w:r>
        <w:rPr/>
        <w:fldChar w:fldCharType="separate"/>
      </w:r>
      <w:r>
        <w:rPr/>
        <w:t>8</w:t>
      </w:r>
      <w:r>
        <w:rPr/>
        <w:fldChar w:fldCharType="end"/>
      </w:r>
      <w:bookmarkEnd w:id="34"/>
      <w:r>
        <w:rPr/>
        <w:t xml:space="preserve"> – Картосхема ТЗ ВС ООО «ЭК»</w:t>
      </w:r>
    </w:p>
    <w:p>
      <w:pPr>
        <w:pStyle w:val="Normal"/>
        <w:rPr/>
      </w:pPr>
      <w:r>
        <w:rPr/>
        <w:t xml:space="preserve">Более подробное графическое отображение объектов ЦС ХВС, действующих на территории Беловского ГО, приведено в составе электронной гидравлической модели систем водоснабжения и водоотведения Беловского ГО. </w:t>
      </w:r>
    </w:p>
    <w:p>
      <w:pPr>
        <w:pStyle w:val="3"/>
        <w:rPr/>
      </w:pPr>
      <w:bookmarkStart w:id="35" w:name="_Toc158814556"/>
      <w:bookmarkStart w:id="36" w:name="_Описание_результатов_технического"/>
      <w:bookmarkEnd w:id="36"/>
      <w:r>
        <w:rPr/>
        <w:t>Описание результатов технического обследования централизованных систем водоснабжения</w:t>
      </w:r>
      <w:bookmarkEnd w:id="35"/>
    </w:p>
    <w:p>
      <w:pPr>
        <w:pStyle w:val="Normal"/>
        <w:rPr/>
      </w:pPr>
      <w:r>
        <w:rPr/>
        <w:t>В статье 2 главы 1 [</w:t>
      </w:r>
      <w:r>
        <w:rPr/>
        <w:fldChar w:fldCharType="begin"/>
      </w:r>
      <w:r>
        <w:rPr/>
        <w:instrText xml:space="preserve"> REF _Ref154925037 \n \h </w:instrText>
      </w:r>
      <w:r>
        <w:rPr/>
        <w:fldChar w:fldCharType="separate"/>
      </w:r>
      <w:r>
        <w:rPr/>
        <w:t>2</w:t>
      </w:r>
      <w:r>
        <w:rPr/>
        <w:fldChar w:fldCharType="end"/>
      </w:r>
      <w:r>
        <w:rPr/>
        <w:t>] приведено следующее определение:</w:t>
      </w:r>
    </w:p>
    <w:p>
      <w:pPr>
        <w:pStyle w:val="ListParagraph"/>
        <w:numPr>
          <w:ilvl w:val="0"/>
          <w:numId w:val="10"/>
        </w:numPr>
        <w:ind w:left="993" w:hanging="284"/>
        <w:rPr/>
      </w:pPr>
      <w:r>
        <w:rPr/>
        <w:t xml:space="preserve">Техническое обследование централизованных систем горячего водоснабжения, холодного водоснабжения и (или) водоотведения – оценка технических характеристик объектов централизованных систем горячего водоснабжения, холодного водоснабжения и (или) водоотведения. </w:t>
      </w:r>
    </w:p>
    <w:p>
      <w:pPr>
        <w:pStyle w:val="Normal"/>
        <w:rPr/>
      </w:pPr>
      <w:r>
        <w:rPr/>
        <w:t>На территории Беловского ГО было осуществлено проведение натуральных измерений по анализу работы системы водоснабжения г. Белово на основании Технического задания на «Проведение натурных измерений по анализу работы системы водоснабжения г. Белово (2 этап)», выданного Муниципальным казенным учреждением «Служба заказчика ЖКХ» (объекты ЦС ХВС в эксплуатационной зоне ООО «Водоснабжение», исполнитель – ООО «Стройпроект»).</w:t>
      </w:r>
    </w:p>
    <w:p>
      <w:pPr>
        <w:pStyle w:val="Normal"/>
        <w:rPr/>
      </w:pPr>
      <w:r>
        <w:rPr/>
        <w:t xml:space="preserve">Рассматриваемые районы натуральных измерений по анализу работы системы водоснабжения г. Белово приведены в таблице </w:t>
      </w:r>
      <w:r>
        <w:rPr/>
        <w:fldChar w:fldCharType="begin"/>
      </w:r>
      <w:r>
        <w:rPr/>
        <w:instrText xml:space="preserve"> REF _Ref154788698 \h </w:instrText>
      </w:r>
      <w:r>
        <w:rPr/>
        <w:fldChar w:fldCharType="separate"/>
      </w:r>
      <w:r>
        <w:rPr/>
        <w:t>Таблица 1.1.9</w:t>
      </w:r>
      <w:r>
        <w:rPr/>
        <w:fldChar w:fldCharType="end"/>
      </w:r>
      <w:r>
        <w:rPr/>
        <w:t xml:space="preserve">. </w:t>
      </w:r>
    </w:p>
    <w:p>
      <w:pPr>
        <w:pStyle w:val="Style34"/>
        <w:rPr/>
      </w:pPr>
      <w:bookmarkStart w:id="37" w:name="_Ref154788698"/>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9</w:t>
      </w:r>
      <w:r>
        <w:rPr/>
        <w:fldChar w:fldCharType="end"/>
      </w:r>
      <w:bookmarkEnd w:id="37"/>
      <w:r>
        <w:rPr/>
        <w:t xml:space="preserve"> – Рассматриваемые районы натуральных измерений по анализу работы системы водоснабжения г. Белово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17"/>
        <w:gridCol w:w="1748"/>
        <w:gridCol w:w="7090"/>
      </w:tblGrid>
      <w:tr>
        <w:trPr>
          <w:tblHeader w:val="true"/>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r>
              <w:rPr>
                <w:rFonts w:eastAsia="Times New Roman" w:cs="Times New Roman"/>
                <w:color w:val="000000"/>
                <w:sz w:val="20"/>
                <w:szCs w:val="20"/>
                <w:lang w:eastAsia="ru-RU"/>
              </w:rPr>
              <w:t>п/п</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Номер района</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Адресная привязка</w:t>
            </w:r>
          </w:p>
        </w:tc>
      </w:tr>
      <w:tr>
        <w:trPr>
          <w:tblHeader w:val="true"/>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r>
      <w:tr>
        <w:trPr>
          <w:trHeight w:val="516" w:hRule="atLeast"/>
        </w:trPr>
        <w:tc>
          <w:tcPr>
            <w:tcW w:w="51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74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 район</w:t>
            </w:r>
          </w:p>
        </w:tc>
        <w:tc>
          <w:tcPr>
            <w:tcW w:w="709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Зона, ограниченная улицами: пер. Почтовый, ул. Коммунистическая, л. Горького, пер. Банковский, ул. Пролетарская</w:t>
            </w:r>
          </w:p>
        </w:tc>
      </w:tr>
      <w:tr>
        <w:trPr>
          <w:trHeight w:val="516" w:hRule="atLeast"/>
        </w:trPr>
        <w:tc>
          <w:tcPr>
            <w:tcW w:w="5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74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709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2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Зона, ограниченная улицами: пер. Цинкзаводской, ул. Донская, ул. Металлургов, ул. Веры Волошиной, ул. Жукова</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3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Проектируемый 4-й микрорайон</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3-й микрорайон, ограниченный улицами: ул. Геодезическая, ул. 3 микрорайон</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5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Зона, расположенная рядом с 3- й микрорайоном (Сосновый)</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6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ул. Буденного (Ново-Белово)</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7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Зона, ограниченная улицами ул. Фрунзе, ул. Королева, ул. 2-я Заречная (Старо-Белово)</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8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 Инской</w:t>
            </w:r>
          </w:p>
        </w:tc>
      </w:tr>
      <w:tr>
        <w:trPr>
          <w:trHeight w:val="20" w:hRule="atLeast"/>
        </w:trPr>
        <w:tc>
          <w:tcPr>
            <w:tcW w:w="5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17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9 район</w:t>
            </w:r>
          </w:p>
        </w:tc>
        <w:tc>
          <w:tcPr>
            <w:tcW w:w="70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 Чертинский</w:t>
            </w:r>
          </w:p>
        </w:tc>
      </w:tr>
    </w:tbl>
    <w:p>
      <w:pPr>
        <w:pStyle w:val="Normal"/>
        <w:rPr/>
      </w:pPr>
      <w:r>
        <w:rPr/>
        <w:t xml:space="preserve">Результаты натуральных измерений по анализу работы системы водоснабжения г. Белово приведены ниже в пунктах </w:t>
      </w:r>
      <w:hyperlink w:anchor="_Описание_состояния_существующих">
        <w:r>
          <w:rPr>
            <w:rStyle w:val="-"/>
          </w:rPr>
          <w:t>1.1.4.1</w:t>
        </w:r>
      </w:hyperlink>
      <w:r>
        <w:rPr/>
        <w:t>–</w:t>
      </w:r>
      <w:hyperlink w:anchor="_Описание_существующих_технических">
        <w:r>
          <w:rPr>
            <w:rStyle w:val="-"/>
          </w:rPr>
          <w:t>1.1.4.5</w:t>
        </w:r>
      </w:hyperlink>
      <w:r>
        <w:rPr/>
        <w:t xml:space="preserve">. </w:t>
      </w:r>
    </w:p>
    <w:p>
      <w:pPr>
        <w:pStyle w:val="Normal"/>
        <w:rPr/>
      </w:pPr>
      <w:r>
        <w:rPr/>
        <w:t xml:space="preserve">Техническое обследование объектов ЦС ХВС организаций ВКХ МУП «Водоканал», ООО «ЭК» и прочих объектов ЦС ХВС ООО «Водоснабжение» (не рассмотренных в рамках настоящего подраздела) не проводилось (сведения не предоставлены). Описание данных объектов ЦС ХВС приведено выше в составе </w:t>
      </w:r>
      <w:hyperlink w:anchor="_Описание_системы_и">
        <w:r>
          <w:rPr>
            <w:rStyle w:val="-"/>
          </w:rPr>
          <w:t>подраздела 1.1.1</w:t>
        </w:r>
      </w:hyperlink>
      <w:r>
        <w:rPr/>
        <w:t xml:space="preserve">. </w:t>
      </w:r>
    </w:p>
    <w:p>
      <w:pPr>
        <w:pStyle w:val="4"/>
        <w:rPr/>
      </w:pPr>
      <w:bookmarkStart w:id="38" w:name="_Описание_состояния_существующих"/>
      <w:bookmarkStart w:id="39" w:name="_Toc158814557"/>
      <w:bookmarkEnd w:id="38"/>
      <w:r>
        <w:rPr/>
        <w:t>Описание состояния существующих источников водоснабжения и водозаборных сооружений</w:t>
      </w:r>
      <w:bookmarkEnd w:id="39"/>
    </w:p>
    <w:p>
      <w:pPr>
        <w:pStyle w:val="Normal"/>
        <w:rPr/>
      </w:pPr>
      <w:r>
        <w:rPr/>
        <w:t xml:space="preserve">Описание существующих водозаборных скважин в соответствии с результатами натуральных измерений по анализу работы системы водоснабжения г. Белово приведены в таблице </w:t>
      </w:r>
      <w:r>
        <w:rPr/>
        <w:fldChar w:fldCharType="begin"/>
      </w:r>
      <w:r>
        <w:rPr/>
        <w:instrText xml:space="preserve"> REF _Ref154783141 \h </w:instrText>
      </w:r>
      <w:r>
        <w:rPr/>
        <w:fldChar w:fldCharType="separate"/>
      </w:r>
      <w:r>
        <w:rPr/>
        <w:t>Таблица 1.1.10</w:t>
      </w:r>
      <w:r>
        <w:rPr/>
        <w:fldChar w:fldCharType="end"/>
      </w:r>
      <w:r>
        <w:rPr/>
        <w:t>.</w:t>
      </w:r>
    </w:p>
    <w:p>
      <w:pPr>
        <w:pStyle w:val="Style34"/>
        <w:rPr/>
      </w:pPr>
      <w:bookmarkStart w:id="40" w:name="_Ref154783141"/>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10</w:t>
      </w:r>
      <w:r>
        <w:rPr/>
        <w:fldChar w:fldCharType="end"/>
      </w:r>
      <w:bookmarkEnd w:id="40"/>
      <w:r>
        <w:rPr/>
        <w:t xml:space="preserve"> – Описание существующих водозаборных скважин в соответствии с результатами натуральных измерений по анализу работы системы водоснабжения г. Белово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60"/>
        <w:gridCol w:w="1094"/>
        <w:gridCol w:w="2034"/>
        <w:gridCol w:w="1559"/>
        <w:gridCol w:w="1945"/>
        <w:gridCol w:w="2162"/>
      </w:tblGrid>
      <w:tr>
        <w:trPr>
          <w:tblHeader w:val="true"/>
          <w:trHeight w:val="20" w:hRule="atLeast"/>
        </w:trPr>
        <w:tc>
          <w:tcPr>
            <w:tcW w:w="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109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скважины</w:t>
            </w:r>
          </w:p>
        </w:tc>
        <w:tc>
          <w:tcPr>
            <w:tcW w:w="203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Данные пробной откачки, м</w:t>
            </w:r>
            <w:r>
              <w:rPr>
                <w:rFonts w:eastAsia="Times New Roman" w:cs="Times New Roman"/>
                <w:sz w:val="20"/>
                <w:szCs w:val="20"/>
                <w:vertAlign w:val="superscript"/>
                <w:lang w:eastAsia="ru-RU"/>
              </w:rPr>
              <w:t>3</w:t>
            </w:r>
            <w:r>
              <w:rPr>
                <w:rFonts w:eastAsia="Times New Roman" w:cs="Times New Roman"/>
                <w:sz w:val="20"/>
                <w:szCs w:val="20"/>
                <w:lang w:eastAsia="ru-RU"/>
              </w:rPr>
              <w:t>/ч</w:t>
            </w:r>
          </w:p>
        </w:tc>
        <w:tc>
          <w:tcPr>
            <w:tcW w:w="155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Напор, м вод. ст.</w:t>
            </w:r>
          </w:p>
        </w:tc>
        <w:tc>
          <w:tcPr>
            <w:tcW w:w="19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Марка насосного агрегата</w:t>
            </w:r>
          </w:p>
        </w:tc>
        <w:tc>
          <w:tcPr>
            <w:tcW w:w="216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Дебит скважины (данные эксплуатации), м</w:t>
            </w:r>
            <w:r>
              <w:rPr>
                <w:rFonts w:eastAsia="Times New Roman" w:cs="Times New Roman"/>
                <w:sz w:val="20"/>
                <w:szCs w:val="20"/>
                <w:vertAlign w:val="superscript"/>
                <w:lang w:eastAsia="ru-RU"/>
              </w:rPr>
              <w:t>3</w:t>
            </w:r>
            <w:r>
              <w:rPr>
                <w:rFonts w:eastAsia="Times New Roman" w:cs="Times New Roman"/>
                <w:sz w:val="20"/>
                <w:szCs w:val="20"/>
                <w:lang w:eastAsia="ru-RU"/>
              </w:rPr>
              <w:t>/ч</w:t>
            </w:r>
          </w:p>
        </w:tc>
      </w:tr>
      <w:tr>
        <w:trPr>
          <w:tblHeader w:val="true"/>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8794"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Худяки - Пермяки</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3ц</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30,8</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1цр</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48,5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10-120-80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101</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1ц</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70* работа при отключенной 1цр </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(отсутствие воды)</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10-120-80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94</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29,2</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10-120-60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20р</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70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10-120-80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110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12-160-100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28,8</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10-63-150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67,5</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28,8</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62,5</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66,6</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12-160-100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Макс.104</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8794"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Уссуло-Каменский</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30,8</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(обезвоживание водоносного горизонта</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8794"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Уроп</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2х</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10-65-150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(работа невозможна до перекладки напорного водопровода)</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5б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60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6б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25,4</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3б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12-160-100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10-120-60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84</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125</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10-65-125</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166</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8-25-150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(отсутствие электроснабжения по стороне 6кВ)</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170</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10-65-150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83</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192а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3.10</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166б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139б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13,7</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138</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8-40-90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46</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168а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21,6</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3.14</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139а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5,23</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138а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12-160-100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142</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3.16</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197а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86</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3.17</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137</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10-63-65</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Макс. 60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3.18</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205а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26,2</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8-25-150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3.19</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168</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43,6</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3.20</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169а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21,6</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10-120-60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794"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Хахалино</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8-25-100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(обезвоживание водоносного горизонта)</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10-120-60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4а</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25,4</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4б</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4в</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10-120-60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r>
      <w:tr>
        <w:trPr>
          <w:trHeight w:val="20" w:hRule="atLeast"/>
        </w:trPr>
        <w:tc>
          <w:tcPr>
            <w:tcW w:w="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10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20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34,5</w:t>
            </w:r>
          </w:p>
        </w:tc>
        <w:tc>
          <w:tcPr>
            <w:tcW w:w="15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19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ЭЦВ 10-65-110</w:t>
            </w:r>
          </w:p>
        </w:tc>
        <w:tc>
          <w:tcPr>
            <w:tcW w:w="21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 (обезвоживание водоносного горизонта)</w:t>
            </w:r>
          </w:p>
        </w:tc>
      </w:tr>
    </w:tbl>
    <w:p>
      <w:pPr>
        <w:pStyle w:val="4"/>
        <w:rPr/>
      </w:pPr>
      <w:bookmarkStart w:id="41" w:name="_Toc158814558"/>
      <w:r>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41"/>
    </w:p>
    <w:p>
      <w:pPr>
        <w:pStyle w:val="Normal"/>
        <w:rPr/>
      </w:pPr>
      <w:r>
        <w:rPr/>
        <w:t xml:space="preserve">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 приведено выше в составе </w:t>
      </w:r>
      <w:hyperlink w:anchor="_Описание_системы_и">
        <w:r>
          <w:rPr>
            <w:rStyle w:val="-"/>
          </w:rPr>
          <w:t>подраздела 1.1.1</w:t>
        </w:r>
      </w:hyperlink>
      <w:r>
        <w:rPr/>
        <w:t xml:space="preserve">. </w:t>
      </w:r>
    </w:p>
    <w:p>
      <w:pPr>
        <w:pStyle w:val="4"/>
        <w:rPr/>
      </w:pPr>
      <w:bookmarkStart w:id="42" w:name="_Описание_состояния_и"/>
      <w:bookmarkStart w:id="43" w:name="_Toc158814559"/>
      <w:bookmarkEnd w:id="42"/>
      <w:r>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43"/>
    </w:p>
    <w:p>
      <w:pPr>
        <w:pStyle w:val="Normal"/>
        <w:rPr/>
      </w:pPr>
      <w:r>
        <w:rPr/>
        <w:t xml:space="preserve">Описание существующих насосных централизованных станций в соответствии с результатами натуральных измерений по анализу работы системы водоснабжения г. Белово приведены в таблице </w:t>
      </w:r>
      <w:r>
        <w:rPr/>
        <w:fldChar w:fldCharType="begin"/>
      </w:r>
      <w:r>
        <w:rPr/>
        <w:instrText xml:space="preserve"> REF _Ref154786479 \h </w:instrText>
      </w:r>
      <w:r>
        <w:rPr/>
        <w:fldChar w:fldCharType="separate"/>
      </w:r>
      <w:r>
        <w:rPr/>
        <w:t>Таблица 1.1.11</w:t>
      </w:r>
      <w:r>
        <w:rPr/>
        <w:fldChar w:fldCharType="end"/>
      </w:r>
      <w:r>
        <w:rPr/>
        <w:t xml:space="preserve">. </w:t>
      </w:r>
    </w:p>
    <w:p>
      <w:pPr>
        <w:pStyle w:val="Style34"/>
        <w:rPr/>
      </w:pPr>
      <w:bookmarkStart w:id="44" w:name="_Ref154786479"/>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11</w:t>
      </w:r>
      <w:r>
        <w:rPr/>
        <w:fldChar w:fldCharType="end"/>
      </w:r>
      <w:bookmarkEnd w:id="44"/>
      <w:r>
        <w:rPr/>
        <w:t xml:space="preserve"> – Описание существующих насосных централизованных станций в соответствии с результатами натуральных измерений по анализу работы системы водоснабжения г. Белово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704"/>
        <w:gridCol w:w="3406"/>
        <w:gridCol w:w="1987"/>
        <w:gridCol w:w="2412"/>
        <w:gridCol w:w="846"/>
      </w:tblGrid>
      <w:tr>
        <w:trPr>
          <w:tblHeader w:val="true"/>
          <w:trHeight w:val="20" w:hRule="atLeast"/>
          <w:cantSplit w:val="true"/>
        </w:trPr>
        <w:tc>
          <w:tcPr>
            <w:tcW w:w="70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40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Наименование</w:t>
            </w:r>
          </w:p>
        </w:tc>
        <w:tc>
          <w:tcPr>
            <w:tcW w:w="198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Насосы</w:t>
            </w:r>
          </w:p>
        </w:tc>
        <w:tc>
          <w:tcPr>
            <w:tcW w:w="3258"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Параметры насоса</w:t>
            </w:r>
          </w:p>
        </w:tc>
      </w:tr>
      <w:tr>
        <w:trPr>
          <w:tblHeader w:val="true"/>
          <w:trHeight w:val="20" w:hRule="atLeast"/>
          <w:cantSplit w:val="true"/>
        </w:trPr>
        <w:tc>
          <w:tcPr>
            <w:tcW w:w="7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Производительность, м</w:t>
            </w:r>
            <w:r>
              <w:rPr>
                <w:rFonts w:eastAsia="Times New Roman" w:cs="Times New Roman"/>
                <w:sz w:val="20"/>
                <w:szCs w:val="20"/>
                <w:vertAlign w:val="superscript"/>
                <w:lang w:eastAsia="ru-RU"/>
              </w:rPr>
              <w:t>3</w:t>
            </w:r>
            <w:r>
              <w:rPr>
                <w:rFonts w:eastAsia="Times New Roman" w:cs="Times New Roman"/>
                <w:sz w:val="20"/>
                <w:szCs w:val="20"/>
                <w:lang w:eastAsia="ru-RU"/>
              </w:rPr>
              <w:t>/ч</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Напор, м</w:t>
            </w:r>
          </w:p>
        </w:tc>
      </w:tr>
      <w:tr>
        <w:trPr>
          <w:tblHeader w:val="true"/>
          <w:trHeight w:val="20" w:hRule="atLeast"/>
          <w:cantSplit w:val="true"/>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34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Насосная станция подкачки №3 «Пермяки»</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ЦН-400-105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ЦН-400-105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ЦН-400-105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Насосная станция 2-го подъема «Новохудяково»</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ЦН-1000-180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ЦН-1000-180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ЦН-1000-180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№2</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Д-2000-100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Д-2000-100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Д-2000-100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№7</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 400-105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1Д-530-63</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63*</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 400- 105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1Д-530-63</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63*</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НС 27 кв.  (ул. Октябрьская)</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К-80-65-160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К-80-65-160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№3</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 320-50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ЦНС-180-85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 320-50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ЦНС-180-85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85*</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1Д315-71</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315*</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71*</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1Д315-71</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315*</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71*</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ЦНС-180-85</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85*</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Станция подкачки (транзит) «Уроп» (находится в резерве, возможно включение в период макс. водоразбора)</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Д-2000-100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Д-2000-100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100*</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Подкачка ул. Советская 51, 53, 55</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К-80-65-160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К-80-65-160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r>
      <w:tr>
        <w:trPr>
          <w:trHeight w:val="20" w:hRule="atLeast"/>
          <w:cantSplit w:val="true"/>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340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№5 пгт. Новый Городок</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Д-500-65/1500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63*</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Д-315-71/300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315*</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71*</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Д-315-71/300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315*</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71*</w:t>
            </w:r>
          </w:p>
        </w:tc>
      </w:tr>
      <w:tr>
        <w:trPr>
          <w:trHeight w:val="20" w:hRule="atLeast"/>
          <w:cantSplit w:val="true"/>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40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Д-500-65/1500</w:t>
            </w:r>
          </w:p>
        </w:tc>
        <w:tc>
          <w:tcPr>
            <w:tcW w:w="24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500*</w:t>
            </w:r>
          </w:p>
        </w:tc>
        <w:tc>
          <w:tcPr>
            <w:tcW w:w="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63*</w:t>
            </w:r>
          </w:p>
        </w:tc>
      </w:tr>
    </w:tbl>
    <w:p>
      <w:pPr>
        <w:pStyle w:val="Style35"/>
        <w:rPr/>
      </w:pPr>
      <w:r>
        <w:rPr/>
        <w:t>Примечание (*) – показания взяты из паспортной характеристики насосного агрегата</w:t>
      </w:r>
    </w:p>
    <w:p>
      <w:pPr>
        <w:pStyle w:val="4"/>
        <w:rPr/>
      </w:pPr>
      <w:bookmarkStart w:id="45" w:name="_Toc158814560"/>
      <w:r>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5"/>
    </w:p>
    <w:p>
      <w:pPr>
        <w:pStyle w:val="Normal"/>
        <w:rPr/>
      </w:pPr>
      <w:r>
        <w:rPr/>
        <w:t xml:space="preserve">Основные характеристики водопроводных сетей, рассмотренных в рамках проведения натуральных измерений по анализу работы системы водоснабжения г. Белово, приведены в таблице </w:t>
      </w:r>
      <w:r>
        <w:rPr/>
        <w:fldChar w:fldCharType="begin"/>
      </w:r>
      <w:r>
        <w:rPr/>
        <w:instrText xml:space="preserve"> REF _Ref154793241 \h </w:instrText>
      </w:r>
      <w:r>
        <w:rPr/>
        <w:fldChar w:fldCharType="separate"/>
      </w:r>
      <w:r>
        <w:rPr/>
        <w:t>Таблица 1.1.12</w:t>
      </w:r>
      <w:r>
        <w:rPr/>
        <w:fldChar w:fldCharType="end"/>
      </w:r>
      <w:r>
        <w:rPr/>
        <w:t>.</w:t>
      </w:r>
    </w:p>
    <w:p>
      <w:pPr>
        <w:pStyle w:val="Style34"/>
        <w:rPr/>
      </w:pPr>
      <w:bookmarkStart w:id="46" w:name="_Ref154793241"/>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12</w:t>
      </w:r>
      <w:r>
        <w:rPr/>
        <w:fldChar w:fldCharType="end"/>
      </w:r>
      <w:bookmarkEnd w:id="46"/>
      <w:r>
        <w:rPr/>
        <w:t xml:space="preserve"> – Основные характеристики водопроводных сетей, рассмотренных в рамках проведения натуральных измерений по анализу работы системы водоснабжения г. Белово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705"/>
        <w:gridCol w:w="4683"/>
        <w:gridCol w:w="1983"/>
        <w:gridCol w:w="1983"/>
      </w:tblGrid>
      <w:tr>
        <w:trPr>
          <w:tblHeader w:val="true"/>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Номер участка</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Ду трубопровода, мм</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Протяженность, м</w:t>
            </w:r>
          </w:p>
        </w:tc>
      </w:tr>
      <w:tr>
        <w:trPr>
          <w:tblHeader w:val="true"/>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№1 (всас гидроузла №2)</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№2 (напор гидроузла №2 – всас насосной станции №1)</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4 780</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№3 (напор станции №1 – всас гидроузла №7)</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21 046</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№4 (напор гидроузла №7 – всас гидроузла №3, ответвление на п. Бабанаково) – левая нитка</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500</w:t>
              <w:br/>
              <w:t>400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7 112</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№5 (напор гидроузла №7 – всас гидроузла №3), ответвление на Старо-Белово – правая нитка</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6 883</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№6 (напор гидроузла №7 – пгт. Новый Городок)</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№7 (напор гидроузла №7 – ст. Мереть)</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Участок №8 (напор гидроузла №3 – 3-ий микрорайон)</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2 985</w:t>
            </w:r>
          </w:p>
        </w:tc>
      </w:tr>
      <w:tr>
        <w:trPr>
          <w:trHeight w:val="20" w:hRule="atLeast"/>
        </w:trPr>
        <w:tc>
          <w:tcPr>
            <w:tcW w:w="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Итого</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42 806</w:t>
            </w:r>
          </w:p>
        </w:tc>
      </w:tr>
    </w:tbl>
    <w:p>
      <w:pPr>
        <w:pStyle w:val="Normal"/>
        <w:rPr/>
      </w:pPr>
      <w:r>
        <w:rPr/>
        <w:t xml:space="preserve">Основные характеристики РдВ, рассмотренных в рамках проведения натуральных измерений по анализу работы системы водоснабжения г. Белово, приведены в таблице </w:t>
      </w:r>
      <w:r>
        <w:rPr/>
        <w:fldChar w:fldCharType="begin"/>
      </w:r>
      <w:r>
        <w:rPr/>
        <w:instrText xml:space="preserve"> REF _Ref154793246 \h </w:instrText>
      </w:r>
      <w:r>
        <w:rPr/>
        <w:fldChar w:fldCharType="separate"/>
      </w:r>
      <w:r>
        <w:rPr/>
        <w:t>Таблица 1.1.13</w:t>
      </w:r>
      <w:r>
        <w:rPr/>
        <w:fldChar w:fldCharType="end"/>
      </w:r>
    </w:p>
    <w:p>
      <w:pPr>
        <w:pStyle w:val="Style34"/>
        <w:rPr/>
      </w:pPr>
      <w:bookmarkStart w:id="47" w:name="_Ref154793246"/>
      <w:r>
        <w:rPr/>
        <w:t xml:space="preserve">Таблица </w:t>
      </w:r>
      <w:r>
        <w:fldChar w:fldCharType="begin"/>
      </w:r>
      <w:r>
        <w:rPr/>
        <w:instrText xml:space="preserve">STYLEREF 2 \s</w:instrText>
      </w:r>
      <w:r>
        <w:rPr/>
      </w:r>
      <w:r>
        <w:rPr/>
        <w:fldChar w:fldCharType="separate"/>
      </w:r>
      <w:r>
        <w:rPr/>
        <w:t>1.1</w:t>
      </w:r>
      <w:r>
        <w:rPr/>
      </w:r>
      <w:r>
        <w:rPr/>
        <w:fldChar w:fldCharType="end"/>
      </w:r>
      <w:r>
        <w:rPr/>
        <w:t>.</w:t>
      </w:r>
      <w:r>
        <w:rPr/>
        <w:fldChar w:fldCharType="begin"/>
      </w:r>
      <w:r>
        <w:rPr/>
        <w:instrText xml:space="preserve"> SEQ Таблица \* ARABIC </w:instrText>
      </w:r>
      <w:r>
        <w:rPr/>
        <w:fldChar w:fldCharType="separate"/>
      </w:r>
      <w:r>
        <w:rPr/>
        <w:t>13</w:t>
      </w:r>
      <w:r>
        <w:rPr/>
        <w:fldChar w:fldCharType="end"/>
      </w:r>
      <w:bookmarkEnd w:id="47"/>
      <w:r>
        <w:rPr/>
        <w:t xml:space="preserve"> – Основные характеристики РдВ, рассмотренных в рамках проведения натуральных измерений по анализу работы системы водоснабжения г. Белово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84"/>
        <w:gridCol w:w="4124"/>
        <w:gridCol w:w="2273"/>
        <w:gridCol w:w="2273"/>
      </w:tblGrid>
      <w:tr>
        <w:trPr>
          <w:tblHeader w:val="true"/>
          <w:trHeight w:val="20" w:hRule="atLeast"/>
          <w:cantSplit w:val="true"/>
        </w:trPr>
        <w:tc>
          <w:tcPr>
            <w:tcW w:w="68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12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Местоположение (иная привязка)</w:t>
            </w:r>
          </w:p>
        </w:tc>
        <w:tc>
          <w:tcPr>
            <w:tcW w:w="4546"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Объем РдВ, м</w:t>
            </w:r>
            <w:r>
              <w:rPr>
                <w:rFonts w:eastAsia="Times New Roman" w:cs="Times New Roman"/>
                <w:sz w:val="20"/>
                <w:szCs w:val="20"/>
                <w:vertAlign w:val="superscript"/>
                <w:lang w:eastAsia="ru-RU"/>
              </w:rPr>
              <w:t>3</w:t>
            </w:r>
          </w:p>
        </w:tc>
      </w:tr>
      <w:tr>
        <w:trPr>
          <w:tblHeader w:val="true"/>
          <w:trHeight w:val="20" w:hRule="atLeast"/>
          <w:cantSplit w:val="true"/>
        </w:trPr>
        <w:tc>
          <w:tcPr>
            <w:tcW w:w="68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Паспортный</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Фактически заполняемый</w:t>
            </w:r>
          </w:p>
        </w:tc>
      </w:tr>
      <w:tr>
        <w:trPr>
          <w:tblHeader w:val="true"/>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r>
      <w:tr>
        <w:trPr>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Насосная станция подкачки №3</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 (технологический резервуар, предназначен исключительно для работы насосов   под заливом)</w:t>
            </w:r>
          </w:p>
        </w:tc>
      </w:tr>
      <w:tr>
        <w:trPr>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Насосная станция</w:t>
              <w:br/>
              <w:t>2-го подъема</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450 (технологический резервуар, предназначен исключительно для работы насосов под заливом)</w:t>
            </w:r>
          </w:p>
        </w:tc>
      </w:tr>
      <w:tr>
        <w:trPr>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№2</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950 (технологический резервуар, предназначен исключительно для работы насосов под заливом)</w:t>
            </w:r>
          </w:p>
        </w:tc>
      </w:tr>
      <w:tr>
        <w:trPr>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Насосная станция №1</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cantSplit w:val="true"/>
        </w:trPr>
        <w:tc>
          <w:tcPr>
            <w:tcW w:w="68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412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№7</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7 000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7 000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11 000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11 000</w:t>
            </w:r>
          </w:p>
        </w:tc>
      </w:tr>
      <w:tr>
        <w:trPr>
          <w:trHeight w:val="20" w:hRule="atLeast"/>
          <w:cantSplit w:val="true"/>
        </w:trPr>
        <w:tc>
          <w:tcPr>
            <w:tcW w:w="68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41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Насосная станция 27 кв. (ул. Октябрьская)</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cantSplit w:val="true"/>
        </w:trPr>
        <w:tc>
          <w:tcPr>
            <w:tcW w:w="68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412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№3</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1 250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1 250</w:t>
            </w:r>
          </w:p>
        </w:tc>
      </w:tr>
      <w:tr>
        <w:trPr>
          <w:trHeight w:val="20" w:hRule="atLeast"/>
          <w:cantSplit w:val="true"/>
        </w:trPr>
        <w:tc>
          <w:tcPr>
            <w:tcW w:w="68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412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Гидроузел №5, пгт. Новый Городок</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1 450</w:t>
            </w:r>
          </w:p>
        </w:tc>
      </w:tr>
      <w:tr>
        <w:trPr>
          <w:trHeight w:val="20" w:hRule="atLeast"/>
          <w:cantSplit w:val="true"/>
        </w:trPr>
        <w:tc>
          <w:tcPr>
            <w:tcW w:w="68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12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3 000</w:t>
            </w:r>
          </w:p>
        </w:tc>
        <w:tc>
          <w:tcPr>
            <w:tcW w:w="2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1 450</w:t>
            </w:r>
          </w:p>
        </w:tc>
      </w:tr>
    </w:tbl>
    <w:p>
      <w:pPr>
        <w:pStyle w:val="Normal"/>
        <w:rPr/>
      </w:pPr>
      <w:bookmarkStart w:id="48" w:name="_Описание_существующих_технических"/>
      <w:bookmarkEnd w:id="48"/>
      <w:r>
        <w:rPr/>
        <w:t xml:space="preserve">Результаты натуральных измерений по анализу работы системы водоснабжения г. Белово на основании Технического задания на «Проведение натурных измерений по анализу работы системы водоснабжения г. Белово (2 этап)» приведены ниже. </w:t>
      </w:r>
    </w:p>
    <w:p>
      <w:pPr>
        <w:pStyle w:val="Normal"/>
        <w:rPr/>
      </w:pPr>
      <w:r>
        <w:rPr/>
        <w:t>Район №1. Зона, ограниченная улицами: пер. Почтовый, ул. Коммунистическая, ул. Горького, пер. Банковский, ул. Пролетарская. Магистральные трубопроводы (правая нитка).</w:t>
      </w:r>
    </w:p>
    <w:p>
      <w:pPr>
        <w:pStyle w:val="Normal"/>
        <w:rPr/>
      </w:pPr>
      <w:r>
        <w:rPr/>
        <w:t>Проблема:</w:t>
      </w:r>
    </w:p>
    <w:p>
      <w:pPr>
        <w:pStyle w:val="Normal"/>
        <w:rPr/>
      </w:pPr>
      <w:r>
        <w:rPr/>
        <w:t>Магистральный водовод Ду=429 мм, проходящий на участке по ул. Щетинкина до пересечения с ул. Московская под железной дорогой имеет заужение Ду=315 мм, протяженностью 398 м, что негативно сказывается на водоснабжении центральной части г. Белово.</w:t>
      </w:r>
    </w:p>
    <w:p>
      <w:pPr>
        <w:pStyle w:val="Normal"/>
        <w:rPr/>
      </w:pPr>
      <w:r>
        <w:rPr/>
        <w:t>Расчет:</w:t>
      </w:r>
    </w:p>
    <w:p>
      <w:pPr>
        <w:pStyle w:val="Normal"/>
        <w:rPr/>
      </w:pPr>
      <w:r>
        <w:rPr/>
        <w:t>Согласно [</w:t>
      </w:r>
      <w:r>
        <w:rPr/>
        <w:fldChar w:fldCharType="begin"/>
      </w:r>
      <w:r>
        <w:rPr/>
        <w:instrText xml:space="preserve"> REF _Ref155464429 \n \h </w:instrText>
      </w:r>
      <w:r>
        <w:rPr/>
        <w:fldChar w:fldCharType="separate"/>
      </w:r>
      <w:r>
        <w:rPr/>
        <w:t>19</w:t>
      </w:r>
      <w:r>
        <w:rPr/>
        <w:fldChar w:fldCharType="end"/>
      </w:r>
      <w:r>
        <w:rPr/>
        <w:t>] диаметр труб, фасонных частей и арматуры следует принимать на основании технико-экономического расчета. Максимальное рекомендуемое значение скорости потока должно быть не более 3 м/с. Рекомендуемые скорости движения воды в напорных линиях насосных станций при диаметре трубопроводов до 250 мм – 0,8–2 м/с, при диаметрах от 250 мм до 800 мм – 1–3 м/с.</w:t>
      </w:r>
    </w:p>
    <w:p>
      <w:pPr>
        <w:pStyle w:val="Normal"/>
        <w:rPr/>
      </w:pPr>
      <w:r>
        <w:rPr/>
        <w:t>Для дальнейших расчетов по всем районам принимаем оптимальную рекомендуемую скорость потока воды – 1,5 м/с.</w:t>
      </w:r>
    </w:p>
    <w:p>
      <w:pPr>
        <w:pStyle w:val="Normal"/>
        <w:rPr/>
      </w:pPr>
      <w:r>
        <w:rPr/>
        <w:t>Пропускная способность существующего стального трубопровода диаметром 426</w:t>
      </w:r>
      <w:r>
        <w:rPr>
          <w:rFonts w:cs="Times New Roman"/>
        </w:rPr>
        <w:t>×</w:t>
      </w:r>
      <w:r>
        <w:rPr/>
        <w:t>8 мм при скорости потока 1,5 м/с – 198,04 л/с (таблицы Шевелева).</w:t>
      </w:r>
    </w:p>
    <w:p>
      <w:pPr>
        <w:pStyle w:val="Normal"/>
        <w:rPr/>
      </w:pPr>
      <w:r>
        <w:rPr/>
        <w:t>Пропускная способность существующего трубопровода ПЭ диаметром 315 мм с толщиной стенки 18,7 мм при скорости потока 1,5 м/с – 90,79 л/с (таблицы Шевелева).</w:t>
      </w:r>
    </w:p>
    <w:p>
      <w:pPr>
        <w:pStyle w:val="Normal"/>
        <w:rPr/>
      </w:pPr>
      <w:r>
        <w:rPr/>
        <w:t>Заужение магистрального водовода снижает пропускную способность на 54%.</w:t>
      </w:r>
    </w:p>
    <w:p>
      <w:pPr>
        <w:pStyle w:val="Normal"/>
        <w:rPr/>
      </w:pPr>
      <w:r>
        <w:rPr/>
        <w:t>Рекомендации:</w:t>
      </w:r>
    </w:p>
    <w:p>
      <w:pPr>
        <w:pStyle w:val="Normal"/>
        <w:rPr/>
      </w:pPr>
      <w:r>
        <w:rPr/>
        <w:t>Учитывая, что существующий футляр под железной дорогой не позволяет проложить в нем трубопровод большего диаметра, то рекомендуется выполнить новое место пересечения существующего водопровода с железной дорогой для восстановления пропускной способности в 2 нитки ПНД 400 мм протяженностью L≈400 м в футляре ПНД 710 мм (для возможности выполнения будущих ремонтных работ на данном участке без отключения водовода).</w:t>
      </w:r>
    </w:p>
    <w:p>
      <w:pPr>
        <w:pStyle w:val="Normal"/>
        <w:rPr/>
      </w:pPr>
      <w:r>
        <w:rPr/>
        <w:t>Параметры трубопровода в месте пересечения ж/д переезда будут определены в ходе проектирования.</w:t>
      </w:r>
    </w:p>
    <w:p>
      <w:pPr>
        <w:pStyle w:val="Normal"/>
        <w:rPr/>
      </w:pPr>
      <w:r>
        <w:rPr/>
        <w:t>Этапы реализации предложенных мероприятий:</w:t>
      </w:r>
    </w:p>
    <w:p>
      <w:pPr>
        <w:pStyle w:val="Style31"/>
        <w:numPr>
          <w:ilvl w:val="0"/>
          <w:numId w:val="79"/>
        </w:numPr>
        <w:rPr/>
      </w:pPr>
      <w:r>
        <w:rPr/>
        <w:t>выбор места пересечения трубопровода с ж/д;</w:t>
      </w:r>
    </w:p>
    <w:p>
      <w:pPr>
        <w:pStyle w:val="Style31"/>
        <w:numPr>
          <w:ilvl w:val="0"/>
          <w:numId w:val="2"/>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согласование документации с собственниками ж/д;</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Район №1. Зона, ограниченная улицами: пер. Почтовый, ул. Коммунистическая, ул. Горького, пер. Банковский, ул. Пролетарская. Магистральные трубопроводы (левая нитка).</w:t>
      </w:r>
    </w:p>
    <w:p>
      <w:pPr>
        <w:pStyle w:val="Normal"/>
        <w:rPr/>
      </w:pPr>
      <w:r>
        <w:rPr/>
        <w:t>Проблема:</w:t>
      </w:r>
    </w:p>
    <w:p>
      <w:pPr>
        <w:pStyle w:val="Normal"/>
        <w:rPr/>
      </w:pPr>
      <w:r>
        <w:rPr/>
        <w:t>Ненормативное давление в системе водоснабжения части абонентов района №1 в летний период.</w:t>
      </w:r>
    </w:p>
    <w:p>
      <w:pPr>
        <w:pStyle w:val="Normal"/>
        <w:rPr/>
      </w:pPr>
      <w:r>
        <w:rPr/>
        <w:t>Расчет:</w:t>
      </w:r>
    </w:p>
    <w:p>
      <w:pPr>
        <w:pStyle w:val="Style31"/>
        <w:numPr>
          <w:ilvl w:val="0"/>
          <w:numId w:val="80"/>
        </w:numPr>
        <w:rPr/>
      </w:pPr>
      <w:r>
        <w:rPr/>
        <w:t>водопровод от гидроузла №7 Ду=400 мм до гидроузла №3 (левая нитка) имеет заужения:</w:t>
      </w:r>
    </w:p>
    <w:p>
      <w:pPr>
        <w:pStyle w:val="Style31"/>
        <w:numPr>
          <w:ilvl w:val="1"/>
          <w:numId w:val="2"/>
        </w:numPr>
        <w:rPr/>
      </w:pPr>
      <w:r>
        <w:rPr/>
        <w:t>в районе ул. Октябрьская заужение на Ду=300 мм, L≈1</w:t>
      </w:r>
      <w:r>
        <w:rPr>
          <w:lang w:val="en-US"/>
        </w:rPr>
        <w:t> </w:t>
      </w:r>
      <w:r>
        <w:rPr/>
        <w:t>029</w:t>
      </w:r>
      <w:r>
        <w:rPr>
          <w:lang w:val="en-US"/>
        </w:rPr>
        <w:t> </w:t>
      </w:r>
      <w:r>
        <w:rPr/>
        <w:t>м (ВЧШГ 326</w:t>
      </w:r>
      <w:r>
        <w:rPr>
          <w:rFonts w:cs="Times New Roman"/>
        </w:rPr>
        <w:t>×</w:t>
      </w:r>
      <w:r>
        <w:rPr/>
        <w:t>11,9) на участке от ВК-4776 у дома №124 по ул. Ленина до ВК-5465 у дома №109А по ул. Октябрьская с пересечением ж/д;</w:t>
      </w:r>
    </w:p>
    <w:p>
      <w:pPr>
        <w:pStyle w:val="Style31"/>
        <w:numPr>
          <w:ilvl w:val="1"/>
          <w:numId w:val="2"/>
        </w:numPr>
        <w:rPr/>
      </w:pPr>
      <w:r>
        <w:rPr/>
        <w:t>от ВК-5548 у дома №103 по ул. Октябрьская до ВК-5565 у дома №63 по ул. Октябрьская заужение на Ду=300 мм, L≈108 м (ПЭ 315</w:t>
      </w:r>
      <w:r>
        <w:rPr>
          <w:rFonts w:cs="Times New Roman"/>
        </w:rPr>
        <w:t>×</w:t>
      </w:r>
      <w:r>
        <w:rPr/>
        <w:t>18,7);</w:t>
      </w:r>
    </w:p>
    <w:p>
      <w:pPr>
        <w:pStyle w:val="Style31"/>
        <w:numPr>
          <w:ilvl w:val="1"/>
          <w:numId w:val="2"/>
        </w:numPr>
        <w:rPr/>
      </w:pPr>
      <w:r>
        <w:rPr/>
        <w:t>от Уз-1033 через ВК-4284 (ул. Куйбышева) до ВК-4271 (ул. Комсомольская) заужение на Ду=300 мм, L≈231 м (ВЧШГ 326</w:t>
      </w:r>
      <w:r>
        <w:rPr>
          <w:rFonts w:cs="Times New Roman"/>
        </w:rPr>
        <w:t>×</w:t>
      </w:r>
      <w:r>
        <w:rPr/>
        <w:t>11,9);</w:t>
      </w:r>
    </w:p>
    <w:p>
      <w:pPr>
        <w:pStyle w:val="Style31"/>
        <w:numPr>
          <w:ilvl w:val="1"/>
          <w:numId w:val="2"/>
        </w:numPr>
        <w:rPr/>
      </w:pPr>
      <w:r>
        <w:rPr/>
        <w:t>в районе ул. Пушкина от ВК-4318 до Уз-1034 (L≈99 м) и от Уз-1037 до ВК-4347 (L≈137 м) заужение на Ду=300 мм (ВЧШГ 326</w:t>
      </w:r>
      <w:r>
        <w:rPr>
          <w:rFonts w:cs="Times New Roman"/>
        </w:rPr>
        <w:t>×</w:t>
      </w:r>
      <w:r>
        <w:rPr/>
        <w:t>11,9).</w:t>
      </w:r>
    </w:p>
    <w:p>
      <w:pPr>
        <w:pStyle w:val="Normal"/>
        <w:rPr/>
      </w:pPr>
      <w:r>
        <w:rPr/>
        <w:t>Пропускная способность существующего стального трубопровода диаметром 426</w:t>
      </w:r>
      <w:r>
        <w:rPr>
          <w:rFonts w:cs="Times New Roman"/>
        </w:rPr>
        <w:t>×</w:t>
      </w:r>
      <w:r>
        <w:rPr/>
        <w:t>8мм при скорости потока 1,5 м/с – 198,04 л/с (таблицы Шевелева).</w:t>
      </w:r>
    </w:p>
    <w:p>
      <w:pPr>
        <w:pStyle w:val="Normal"/>
        <w:rPr/>
      </w:pPr>
      <w:r>
        <w:rPr/>
        <w:t>Пропускная способность существующего трубопровода ВЧШГ диаметром 326</w:t>
      </w:r>
      <w:r>
        <w:rPr>
          <w:rFonts w:cs="Times New Roman"/>
        </w:rPr>
        <w:t>×</w:t>
      </w:r>
      <w:r>
        <w:rPr/>
        <w:t>11,9 при скорости потока 1,5 м/с – 107,59 л/с (таблицы Шевелева).</w:t>
      </w:r>
    </w:p>
    <w:p>
      <w:pPr>
        <w:pStyle w:val="Normal"/>
        <w:rPr/>
      </w:pPr>
      <w:r>
        <w:rPr/>
        <w:t>Заужение магистрального водовода снижает пропускную способность на 46%.</w:t>
      </w:r>
    </w:p>
    <w:p>
      <w:pPr>
        <w:pStyle w:val="Normal"/>
        <w:rPr/>
      </w:pPr>
      <w:r>
        <w:rPr/>
        <w:t>Пропускная способность существующего трубопровода ПЭ 315мм с толщиной стенки 18,7 мм при скорости потока 1,5 м/с – 90,79 л/с (таблицы Шевелева).</w:t>
      </w:r>
    </w:p>
    <w:p>
      <w:pPr>
        <w:pStyle w:val="Normal"/>
        <w:rPr/>
      </w:pPr>
      <w:r>
        <w:rPr/>
        <w:t>Заужение магистрального водовода снижает пропускную способность на 54%.</w:t>
      </w:r>
    </w:p>
    <w:p>
      <w:pPr>
        <w:pStyle w:val="Normal"/>
        <w:rPr/>
      </w:pPr>
      <w:r>
        <w:rPr/>
        <w:t>Рекомендации:</w:t>
      </w:r>
    </w:p>
    <w:p>
      <w:pPr>
        <w:pStyle w:val="Normal"/>
        <w:rPr/>
      </w:pPr>
      <w:r>
        <w:rPr/>
        <w:t>Восстановить пропускную способность водопровода от гидроузла №7 Ду=400 мм до гидроузла №3, реконструировав следующие участки магистрали:</w:t>
      </w:r>
    </w:p>
    <w:p>
      <w:pPr>
        <w:pStyle w:val="Style31"/>
        <w:numPr>
          <w:ilvl w:val="0"/>
          <w:numId w:val="81"/>
        </w:numPr>
        <w:rPr/>
      </w:pPr>
      <w:r>
        <w:rPr/>
        <w:t>реконструкция участка трубопровода диаметром 326 мм от ВК-4776 у дома №124 по ул. Ленина до ВК-5465 у дома №109А по ул. Октябрьская с пересечением ж/д и увеличением диаметра трубопровода до Ду=400 мм ПЭ, L≈1 029 м;</w:t>
      </w:r>
    </w:p>
    <w:p>
      <w:pPr>
        <w:pStyle w:val="Style31"/>
        <w:numPr>
          <w:ilvl w:val="0"/>
          <w:numId w:val="2"/>
        </w:numPr>
        <w:rPr/>
      </w:pPr>
      <w:r>
        <w:rPr/>
        <w:t>реконструкция участка трубопровода ПЭ диаметром 315 мм от ВК-5548 у дома №103 по ул. Октябрьская до ВК-5565 у дома №63 по ул. Октябрьская с увеличением диаметра трубопровода до Ду=400 мм ПЭ, L≈108 м;</w:t>
      </w:r>
    </w:p>
    <w:p>
      <w:pPr>
        <w:pStyle w:val="Style31"/>
        <w:numPr>
          <w:ilvl w:val="0"/>
          <w:numId w:val="2"/>
        </w:numPr>
        <w:rPr/>
      </w:pPr>
      <w:r>
        <w:rPr/>
        <w:t>Реконструкция участка трубопровода диаметром 326 мм от Уз-1033 через ВК</w:t>
        <w:noBreakHyphen/>
        <w:t>4284 (ул. Куйбышева) до ВК-4271 (ул. Комсомольская) с увеличением диаметра трубопровода до Ду=400 мм ПЭ, L≈231 м;</w:t>
      </w:r>
    </w:p>
    <w:p>
      <w:pPr>
        <w:pStyle w:val="Style31"/>
        <w:numPr>
          <w:ilvl w:val="0"/>
          <w:numId w:val="2"/>
        </w:numPr>
        <w:rPr/>
      </w:pPr>
      <w:r>
        <w:rPr/>
        <w:t>реконструкция участка трубопровода диаметром 326 мм в районе ул. Пушкина от ВК-4318 до Уз-1034 (L≈99 м) и от Уз-1037 до ВК-4347 (L≈137 м) с увеличением диаметра трубопровода до Ду=400 мм ПЭ.</w:t>
      </w:r>
    </w:p>
    <w:p>
      <w:pPr>
        <w:pStyle w:val="Normal"/>
        <w:rPr/>
      </w:pPr>
      <w:r>
        <w:rPr/>
        <w:t>Необходимость реализации предложенных мероприятий пересмотреть после запуска в работу водопровода Ду=400 мм от гидроузла №7, построенного по проекту СП-18/44.</w:t>
      </w:r>
    </w:p>
    <w:p>
      <w:pPr>
        <w:pStyle w:val="Normal"/>
        <w:rPr/>
      </w:pPr>
      <w:r>
        <w:rPr/>
        <w:t>Результат:</w:t>
      </w:r>
    </w:p>
    <w:p>
      <w:pPr>
        <w:pStyle w:val="Normal"/>
        <w:rPr/>
      </w:pPr>
      <w:r>
        <w:rPr/>
        <w:t>Этапы реализации предложенных мероприятий:</w:t>
      </w:r>
    </w:p>
    <w:p>
      <w:pPr>
        <w:pStyle w:val="Style31"/>
        <w:numPr>
          <w:ilvl w:val="0"/>
          <w:numId w:val="82"/>
        </w:numPr>
        <w:rPr/>
      </w:pPr>
      <w:r>
        <w:rPr/>
        <w:t>выбор места пересечения трубопровода с ж/д;</w:t>
      </w:r>
    </w:p>
    <w:p>
      <w:pPr>
        <w:pStyle w:val="Style31"/>
        <w:numPr>
          <w:ilvl w:val="0"/>
          <w:numId w:val="2"/>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согласование документации с собственниками ж/д;</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Район №1. Зона, ограниченная улицами: пер. Почтовый, ул. Коммунистическая, ул. Горького, пер. Банковский, ул. Пролетарская (перемычка между левой и правой нитками).</w:t>
      </w:r>
    </w:p>
    <w:p>
      <w:pPr>
        <w:pStyle w:val="Normal"/>
        <w:rPr/>
      </w:pPr>
      <w:r>
        <w:rPr/>
        <w:t>Проблема:</w:t>
      </w:r>
    </w:p>
    <w:p>
      <w:pPr>
        <w:pStyle w:val="Normal"/>
        <w:rPr/>
      </w:pPr>
      <w:r>
        <w:rPr/>
        <w:t>Ненормативное давление в системе водоснабжения части абонентов района №1 в летний период.</w:t>
      </w:r>
    </w:p>
    <w:p>
      <w:pPr>
        <w:pStyle w:val="Normal"/>
        <w:rPr/>
      </w:pPr>
      <w:r>
        <w:rPr/>
        <w:t>Расчет:</w:t>
      </w:r>
    </w:p>
    <w:p>
      <w:pPr>
        <w:pStyle w:val="Normal"/>
        <w:rPr/>
      </w:pPr>
      <w:r>
        <w:rPr/>
        <w:t>Пропускная способность перемычки диаметром 160 мм между левой и правой нитками водоводов от гидроузла №7 до гидроузла №3 на участке от ВК-5488 у дома №65 по ул. Октябрьская до ВК-4995 у дома №18 по ул. Юбилейная снижена в следствие наличия заужений от диаметра 50 мм до диаметра 110 мм.</w:t>
      </w:r>
    </w:p>
    <w:p>
      <w:pPr>
        <w:pStyle w:val="Normal"/>
        <w:rPr/>
      </w:pPr>
      <w:r>
        <w:rPr/>
        <w:t>Пропускная способность существующего трубопровода ПЭ 160 мм с толщиной стенки 9,5 мм при скорости потока 1,5 м/с – 23,42 л/с (таблицы Шевелева).</w:t>
      </w:r>
    </w:p>
    <w:p>
      <w:pPr>
        <w:pStyle w:val="Normal"/>
        <w:rPr/>
      </w:pPr>
      <w:r>
        <w:rPr/>
        <w:t>Пропускная способность трубопровода ПЭ 110 мм с толщиной стенки 6,6 мм при скорости потока 1,5 м/с – 11,04 л/с (таблицы Шевелева).</w:t>
      </w:r>
    </w:p>
    <w:p>
      <w:pPr>
        <w:pStyle w:val="Normal"/>
        <w:rPr/>
      </w:pPr>
      <w:r>
        <w:rPr/>
        <w:t>Заужение трубопровода снижает пропускную способность на 53%.</w:t>
      </w:r>
    </w:p>
    <w:p>
      <w:pPr>
        <w:pStyle w:val="Normal"/>
        <w:rPr/>
      </w:pPr>
      <w:r>
        <w:rPr/>
        <w:t>Рекомендации:</w:t>
      </w:r>
    </w:p>
    <w:p>
      <w:pPr>
        <w:pStyle w:val="Normal"/>
        <w:rPr/>
      </w:pPr>
      <w:r>
        <w:rPr/>
        <w:t>Восстановить пропускную способность перемычки между левой и правой нитками водоводов от гидроузла №7 до гидроузла №3, увеличив диаметр трубопровода от ВК-5480 у дома №69 по ул. Советская до ВК-4995 у дома №18 по ул. Юбилейная (L≈583 м) до 160 мм ПЭ.</w:t>
      </w:r>
    </w:p>
    <w:p>
      <w:pPr>
        <w:pStyle w:val="Normal"/>
        <w:rPr/>
      </w:pPr>
      <w:r>
        <w:rPr/>
        <w:t>Необходимость реализации предложенного мероприятия пересмотреть после переключения нагрузки котельных, а также после выполнения мероприятий, изложенных ниже.</w:t>
      </w:r>
    </w:p>
    <w:p>
      <w:pPr>
        <w:pStyle w:val="Normal"/>
        <w:rPr/>
      </w:pPr>
      <w:r>
        <w:rPr/>
        <w:t>По информации службы эксплуатации для улучшения работы системы водоснабжения рассматриваемого района и переключения нагрузки с «левой» нитки на «правую» также необходимо реализовать следующие мероприятия:</w:t>
      </w:r>
    </w:p>
    <w:p>
      <w:pPr>
        <w:pStyle w:val="Style31"/>
        <w:numPr>
          <w:ilvl w:val="0"/>
          <w:numId w:val="83"/>
        </w:numPr>
        <w:rPr/>
      </w:pPr>
      <w:r>
        <w:rPr/>
        <w:t>реконструкция участка трубопровода по ул. Железнодорожная от ВК-5030 у дома №6 по ул. Юбилейная до ВК-5506 у дома №56 по ул. Железнодорожная с заменой на Ду=160 мм ПЭ, L≈590 м;</w:t>
      </w:r>
    </w:p>
    <w:p>
      <w:pPr>
        <w:pStyle w:val="Style31"/>
        <w:numPr>
          <w:ilvl w:val="0"/>
          <w:numId w:val="2"/>
        </w:numPr>
        <w:rPr/>
      </w:pPr>
      <w:r>
        <w:rPr/>
        <w:t>строительство водопровода Ду=160 мм, L≈120 м от ВК-5506 у дома №56 по ул. Железнодорожная до ВК-5443 у здания школы №10 по ул. Ленина, 48;</w:t>
      </w:r>
    </w:p>
    <w:p>
      <w:pPr>
        <w:pStyle w:val="Style31"/>
        <w:numPr>
          <w:ilvl w:val="0"/>
          <w:numId w:val="2"/>
        </w:numPr>
        <w:rPr/>
      </w:pPr>
      <w:r>
        <w:rPr/>
        <w:t>строительство водопровода ф110мм, L≈135 м от ВК-5443 у здания школы №10 по ул. Ленина, 48 до ВК-5445 у дома №56 по ул. Ленина;</w:t>
      </w:r>
    </w:p>
    <w:p>
      <w:pPr>
        <w:pStyle w:val="Style31"/>
        <w:numPr>
          <w:ilvl w:val="0"/>
          <w:numId w:val="2"/>
        </w:numPr>
        <w:rPr/>
      </w:pPr>
      <w:r>
        <w:rPr/>
        <w:t>реконструкция участка трубопровода от ВК-5445 у дома №56 по ул. Ленина через ВК-5459 - ВК-5435 – ВК-5545 до ВК-5521 у дома №117 по ул. Октябрьская с заменой на Ду=160 мм ПЭ, L≈900 м;</w:t>
      </w:r>
    </w:p>
    <w:p>
      <w:pPr>
        <w:pStyle w:val="Style31"/>
        <w:numPr>
          <w:ilvl w:val="0"/>
          <w:numId w:val="2"/>
        </w:numPr>
        <w:rPr/>
      </w:pPr>
      <w:r>
        <w:rPr/>
        <w:t>капитальный ремонт участка трубопровода от ВК-5459 у дома №98 по ул. Ленина до ВК-5498 у дома №18 по ул. Гурьевская с заменой на Ду=110 мм ПЭ, L≈290 м;</w:t>
      </w:r>
    </w:p>
    <w:p>
      <w:pPr>
        <w:pStyle w:val="Style31"/>
        <w:numPr>
          <w:ilvl w:val="0"/>
          <w:numId w:val="2"/>
        </w:numPr>
        <w:rPr/>
      </w:pPr>
      <w:r>
        <w:rPr/>
        <w:t>строительство водопровода Ду=110 мм, L≈360 м от ВК-5707 у дома №24 по пер. Почтовый через точки №1–4 до ВК-5685 у дома №115 по ул. 1 Мая;</w:t>
      </w:r>
    </w:p>
    <w:p>
      <w:pPr>
        <w:pStyle w:val="Style31"/>
        <w:numPr>
          <w:ilvl w:val="0"/>
          <w:numId w:val="2"/>
        </w:numPr>
        <w:rPr/>
      </w:pPr>
      <w:r>
        <w:rPr/>
        <w:t>строительство водопровода Ду=40 мм, L≈95 м от ВК-5707 у дома №24 по ул. Почтовый до ВК-5666 у дома №73 по ул. Дружбы;</w:t>
      </w:r>
    </w:p>
    <w:p>
      <w:pPr>
        <w:pStyle w:val="Style31"/>
        <w:numPr>
          <w:ilvl w:val="0"/>
          <w:numId w:val="2"/>
        </w:numPr>
        <w:rPr/>
      </w:pPr>
      <w:r>
        <w:rPr/>
        <w:t>строительство водопровода Ду=40 мм, L≈220 м от т.1 у дома №45 по ул. Горького до ВК-5734 у дома №135 по ул. Горького;</w:t>
      </w:r>
    </w:p>
    <w:p>
      <w:pPr>
        <w:pStyle w:val="Style31"/>
        <w:numPr>
          <w:ilvl w:val="0"/>
          <w:numId w:val="2"/>
        </w:numPr>
        <w:rPr/>
      </w:pPr>
      <w:r>
        <w:rPr/>
        <w:t>строительство водопровода Ду=40 мм, L≈80 м от т. 2 у дома №28 по ул. Почтовый переулок до т.6 у дома №77 по ул. Проездная;</w:t>
      </w:r>
    </w:p>
    <w:p>
      <w:pPr>
        <w:pStyle w:val="Style31"/>
        <w:numPr>
          <w:ilvl w:val="0"/>
          <w:numId w:val="2"/>
        </w:numPr>
        <w:rPr/>
      </w:pPr>
      <w:r>
        <w:rPr/>
        <w:t>строительство водопровода Ду=110 мм, L≈12 м от т.3 у дома №189 по ул. Коммунистическая переулок до ВК-5718;</w:t>
      </w:r>
    </w:p>
    <w:p>
      <w:pPr>
        <w:pStyle w:val="Style31"/>
        <w:numPr>
          <w:ilvl w:val="0"/>
          <w:numId w:val="2"/>
        </w:numPr>
        <w:rPr/>
      </w:pPr>
      <w:r>
        <w:rPr/>
        <w:t>строительство водопровода Ду=40 мм, L≈100 м от т.4 у дома №36 по ул. Почтовый переулок до т.5 у дома №73 по ул. Фадеева.</w:t>
      </w:r>
    </w:p>
    <w:p>
      <w:pPr>
        <w:pStyle w:val="Normal"/>
        <w:rPr/>
      </w:pPr>
      <w:r>
        <w:rPr/>
        <w:t>Результат:</w:t>
      </w:r>
    </w:p>
    <w:p>
      <w:pPr>
        <w:pStyle w:val="Normal"/>
        <w:rPr/>
      </w:pPr>
      <w:r>
        <w:rPr/>
        <w:t>Этапы реализации предложенных мероприятий:</w:t>
      </w:r>
    </w:p>
    <w:p>
      <w:pPr>
        <w:pStyle w:val="Style31"/>
        <w:numPr>
          <w:ilvl w:val="0"/>
          <w:numId w:val="84"/>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 xml:space="preserve">Район №2. Зона, ограниченная улицами: пер. Цинкзаводской, ул. Донская, ул. Металлургов, ул. Веры Волошиной, ул. Жукова. </w:t>
      </w:r>
    </w:p>
    <w:p>
      <w:pPr>
        <w:pStyle w:val="Normal"/>
        <w:rPr/>
      </w:pPr>
      <w:r>
        <w:rPr/>
        <w:t>Проблема:</w:t>
      </w:r>
    </w:p>
    <w:p>
      <w:pPr>
        <w:pStyle w:val="Normal"/>
        <w:rPr/>
      </w:pPr>
      <w:r>
        <w:rPr/>
        <w:t>Ненормативное давление в системе водоснабжения части абонентов в летний период.</w:t>
      </w:r>
    </w:p>
    <w:p>
      <w:pPr>
        <w:pStyle w:val="Normal"/>
        <w:rPr/>
      </w:pPr>
      <w:r>
        <w:rPr/>
        <w:t>Исходные данные:</w:t>
      </w:r>
    </w:p>
    <w:p>
      <w:pPr>
        <w:pStyle w:val="Normal"/>
        <w:rPr/>
      </w:pPr>
      <w:r>
        <w:rPr/>
        <w:t>Район №2, согласно имеющимся схемам, был запитан от гидроузла №3 через ВК-3138 у дома №56 по ул. Пролетарская по двум трубопроводам Ду=150 мм, Ду=110 мм.</w:t>
      </w:r>
    </w:p>
    <w:p>
      <w:pPr>
        <w:pStyle w:val="Normal"/>
        <w:rPr/>
      </w:pPr>
      <w:r>
        <w:rPr/>
        <w:t>По информации службы эксплуатации на текущий момент в работе только один трубопровод Ду=110 мм.</w:t>
      </w:r>
    </w:p>
    <w:p>
      <w:pPr>
        <w:pStyle w:val="Normal"/>
        <w:rPr/>
      </w:pPr>
      <w:r>
        <w:rPr/>
        <w:t xml:space="preserve">Располагаемое давление на вводе в район Н≈39 м. вод. ст. (по данным службы эксплуатации); </w:t>
      </w:r>
    </w:p>
    <w:p>
      <w:pPr>
        <w:pStyle w:val="Normal"/>
        <w:rPr/>
      </w:pPr>
      <w:r>
        <w:rPr/>
        <w:t xml:space="preserve">Количество домов: 1 102 домов; </w:t>
      </w:r>
    </w:p>
    <w:p>
      <w:pPr>
        <w:pStyle w:val="Normal"/>
        <w:rPr/>
      </w:pPr>
      <w:r>
        <w:rPr/>
        <w:t xml:space="preserve">Количество жителей в 1 доме: 3 человека; </w:t>
      </w:r>
    </w:p>
    <w:p>
      <w:pPr>
        <w:pStyle w:val="Normal"/>
        <w:rPr/>
      </w:pPr>
      <w:r>
        <w:rPr/>
        <w:t xml:space="preserve">Площадь 1 земельного участка: 250 м²; </w:t>
      </w:r>
    </w:p>
    <w:p>
      <w:pPr>
        <w:pStyle w:val="Normal"/>
        <w:rPr/>
      </w:pPr>
      <w:r>
        <w:rPr/>
        <w:t>Норматив потребления коммунальной услуги по холодному водоснабжению, куб. метр на 1 человека в месяц: 2,61 м³/мес (согласно приложению № 1 к [</w:t>
      </w:r>
      <w:r>
        <w:rPr>
          <w:lang w:val="en-US"/>
        </w:rPr>
        <w:fldChar w:fldCharType="begin"/>
      </w:r>
      <w:r>
        <w:rPr>
          <w:lang w:val="en-US"/>
        </w:rPr>
        <w:instrText xml:space="preserve"> REF _Ref156881100 \n \h </w:instrText>
      </w:r>
      <w:r>
        <w:rPr>
          <w:lang w:val="en-US"/>
        </w:rPr>
        <w:fldChar w:fldCharType="separate"/>
      </w:r>
      <w:r>
        <w:rPr>
          <w:lang w:val="en-US"/>
        </w:rPr>
        <w:t>22</w:t>
      </w:r>
      <w:r>
        <w:rPr>
          <w:lang w:val="en-US"/>
        </w:rPr>
        <w:fldChar w:fldCharType="end"/>
      </w:r>
      <w:r>
        <w:rPr/>
        <w:t xml:space="preserve">]); </w:t>
      </w:r>
    </w:p>
    <w:p>
      <w:pPr>
        <w:pStyle w:val="Normal"/>
        <w:rPr/>
      </w:pPr>
      <w:r>
        <w:rPr/>
        <w:t>Расходы воды на поливку в населенных пунктах должны приниматься в зависимости от покрытия территории, способа ее поливки, вида насаждений, климатических и других местных условий по таблице 3 [</w:t>
      </w:r>
      <w:r>
        <w:rPr/>
        <w:fldChar w:fldCharType="begin"/>
      </w:r>
      <w:r>
        <w:rPr/>
        <w:instrText xml:space="preserve"> REF _Ref155464429 \n \h </w:instrText>
      </w:r>
      <w:r>
        <w:rPr/>
        <w:fldChar w:fldCharType="separate"/>
      </w:r>
      <w:r>
        <w:rPr/>
        <w:t>19</w:t>
      </w:r>
      <w:r>
        <w:rPr/>
        <w:fldChar w:fldCharType="end"/>
      </w:r>
      <w:r>
        <w:rPr/>
        <w:t>]. Поливка посадок на приусадебных участках овощных культур составляет 3–15 л/м²/сут. По данным службы эксплуатации принято – 5 л/м²/сут., количество поливок – 1 полив в сутки.</w:t>
      </w:r>
    </w:p>
    <w:p>
      <w:pPr>
        <w:pStyle w:val="Normal"/>
        <w:rPr/>
      </w:pPr>
      <w:r>
        <w:rPr/>
        <w:t>Расход воды на пожаротушение не учитывается.</w:t>
      </w:r>
    </w:p>
    <w:p>
      <w:pPr>
        <w:pStyle w:val="Normal"/>
        <w:rPr/>
      </w:pPr>
      <w:r>
        <w:rPr/>
        <w:t>Расчет:</w:t>
      </w:r>
    </w:p>
    <w:p>
      <w:pPr>
        <w:pStyle w:val="Normal"/>
        <w:rPr/>
      </w:pPr>
      <w:r>
        <w:rPr/>
        <w:t>Согласно указанным исходным данным расчетный максимальный секундный расход воды на 2 район составляет – 41,63 л/с.</w:t>
      </w:r>
    </w:p>
    <w:p>
      <w:pPr>
        <w:pStyle w:val="Normal"/>
        <w:rPr/>
      </w:pPr>
      <w:r>
        <w:rPr/>
        <w:t>При данном расходе трубопровод диаметром 110 мм не обеспечивает нормативное водоснабжение, так как на всем его протяжении от ВК-3138 до ВК-880 скорость воды значительно превышает рекомендованную (1,5 м/с).</w:t>
      </w:r>
    </w:p>
    <w:p>
      <w:pPr>
        <w:pStyle w:val="Normal"/>
        <w:rPr/>
      </w:pPr>
      <w:r>
        <w:rPr/>
        <w:t>Рекомендации:</w:t>
      </w:r>
    </w:p>
    <w:p>
      <w:pPr>
        <w:pStyle w:val="Normal"/>
        <w:rPr/>
      </w:pPr>
      <w:r>
        <w:rPr/>
        <w:t>Для решения проблем с нехваткой воды в рассматриваемый район №2 необходимо:</w:t>
      </w:r>
    </w:p>
    <w:p>
      <w:pPr>
        <w:pStyle w:val="Style31"/>
        <w:numPr>
          <w:ilvl w:val="0"/>
          <w:numId w:val="85"/>
        </w:numPr>
        <w:rPr/>
      </w:pPr>
      <w:r>
        <w:rPr/>
        <w:t>строительство дополнительной нитки трубопровода ф160мм от ВК-3138 у г/у №3 по ул. Пролетарская до ВК-880 у дома №58 по ул. Металлургов, L≈553 м.</w:t>
      </w:r>
    </w:p>
    <w:p>
      <w:pPr>
        <w:pStyle w:val="Normal"/>
        <w:rPr/>
      </w:pPr>
      <w:r>
        <w:rPr/>
        <w:t>По информации службы эксплуатации для улучшения работы системы водоснабжения рассматриваемого района также необходимо реализовать следующие мероприятия:</w:t>
      </w:r>
    </w:p>
    <w:p>
      <w:pPr>
        <w:pStyle w:val="Style31"/>
        <w:numPr>
          <w:ilvl w:val="0"/>
          <w:numId w:val="86"/>
        </w:numPr>
        <w:rPr/>
      </w:pPr>
      <w:r>
        <w:rPr/>
        <w:t>строительство трубопровода диаметром 110 мм по ул. Пролетарская от ВК-3138 у г/у №3 по ул. Пролетарская до ВК-1092 у дома №86 по ул. Пролетарская, L≈400 м;</w:t>
      </w:r>
    </w:p>
    <w:p>
      <w:pPr>
        <w:pStyle w:val="Style31"/>
        <w:numPr>
          <w:ilvl w:val="0"/>
          <w:numId w:val="2"/>
        </w:numPr>
        <w:rPr/>
      </w:pPr>
      <w:r>
        <w:rPr/>
        <w:t>реконструкция трубопровода с диаметрами 75–90 мм по пер. Цинкзаводской от ВК-1092 у дома №86 по ул. Пролетарская до ВК-911 у дома №83 по ул. Цимлянская с увеличением диаметра до 110 мм, L≈518 м;</w:t>
      </w:r>
    </w:p>
    <w:p>
      <w:pPr>
        <w:pStyle w:val="Style31"/>
        <w:numPr>
          <w:ilvl w:val="0"/>
          <w:numId w:val="2"/>
        </w:numPr>
        <w:rPr/>
      </w:pPr>
      <w:r>
        <w:rPr/>
        <w:t>строительство трубопровода диаметром 110 мм по ул. Цимлянская от ВК-911 у дома №83 по ул. Цимлянская до ВК-869 у дома №105 по ул. Цимлянская, L≈230 м;</w:t>
      </w:r>
    </w:p>
    <w:p>
      <w:pPr>
        <w:pStyle w:val="Style31"/>
        <w:numPr>
          <w:ilvl w:val="0"/>
          <w:numId w:val="2"/>
        </w:numPr>
        <w:rPr/>
      </w:pPr>
      <w:r>
        <w:rPr/>
        <w:t>реконструкция трубопровода с диаметрами 40–100 мм от ВК-880 у дома №58 по ул. Металлургов через ВК-912 до ВК-911 у дома №83 по ул. Цимлянская с увеличением диаметра до 110 мм, L≈357 м;</w:t>
      </w:r>
    </w:p>
    <w:p>
      <w:pPr>
        <w:pStyle w:val="Style31"/>
        <w:numPr>
          <w:ilvl w:val="0"/>
          <w:numId w:val="2"/>
        </w:numPr>
        <w:rPr/>
      </w:pPr>
      <w:r>
        <w:rPr/>
        <w:t>реконструкция трубопровода с диаметрами 32–40 мм от ВК-847 у дома №2 по ул. Дорожная через ВК-943 до ВК-3533 у дома №11 по ул. Краевая с увеличением диаметра до 110 мм, L≈191 м;</w:t>
      </w:r>
    </w:p>
    <w:p>
      <w:pPr>
        <w:pStyle w:val="Style31"/>
        <w:numPr>
          <w:ilvl w:val="0"/>
          <w:numId w:val="2"/>
        </w:numPr>
        <w:rPr/>
      </w:pPr>
      <w:r>
        <w:rPr/>
        <w:t>капитальный ремонт водопровода диаметром 160 мм по ул. Маковского от ВК-880 у дома №58 по ул. Металлургов через ВК-879 до ВК-928 у дома №36 по ул. Донская, L≈250 м;</w:t>
      </w:r>
    </w:p>
    <w:p>
      <w:pPr>
        <w:pStyle w:val="Style31"/>
        <w:numPr>
          <w:ilvl w:val="0"/>
          <w:numId w:val="2"/>
        </w:numPr>
        <w:rPr/>
      </w:pPr>
      <w:r>
        <w:rPr/>
        <w:t>реконструкция водопровода диаметром 110 мм по ул. Маковского от ВК-928 у дома №36 по ул. Донская до ВК-845 у дома №38 по ул. Жукова с увеличением диаметра до 160 мм, L≈570 м, в связи с выделением дополнительных 60 земельных участков под ИЖС.</w:t>
      </w:r>
    </w:p>
    <w:p>
      <w:pPr>
        <w:pStyle w:val="Normal"/>
        <w:rPr/>
      </w:pPr>
      <w:r>
        <w:rPr/>
        <w:t>Результат:</w:t>
      </w:r>
    </w:p>
    <w:p>
      <w:pPr>
        <w:pStyle w:val="Normal"/>
        <w:rPr/>
      </w:pPr>
      <w:r>
        <w:rPr/>
        <w:t>Этапы реализации предложенных мероприятий:</w:t>
      </w:r>
    </w:p>
    <w:p>
      <w:pPr>
        <w:pStyle w:val="Style31"/>
        <w:numPr>
          <w:ilvl w:val="0"/>
          <w:numId w:val="87"/>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Район №3, 4 – 3 и 4 микрорайоны.</w:t>
      </w:r>
    </w:p>
    <w:p>
      <w:pPr>
        <w:pStyle w:val="Normal"/>
        <w:rPr/>
      </w:pPr>
      <w:r>
        <w:rPr/>
        <w:t>Проблема:</w:t>
      </w:r>
    </w:p>
    <w:p>
      <w:pPr>
        <w:pStyle w:val="Normal"/>
        <w:rPr/>
      </w:pPr>
      <w:r>
        <w:rPr/>
        <w:t>При максимальном заборе воды в коттеджном поселке 4 микрорайона (летний период), давление в водоводе, подающем воду на 3 микрорайон, и в разводящей сети 3 микрорайона резко падает.</w:t>
      </w:r>
    </w:p>
    <w:p>
      <w:pPr>
        <w:pStyle w:val="Normal"/>
        <w:rPr/>
      </w:pPr>
      <w:r>
        <w:rPr/>
        <w:t>Исходные данные:</w:t>
      </w:r>
    </w:p>
    <w:p>
      <w:pPr>
        <w:pStyle w:val="Normal"/>
        <w:rPr/>
      </w:pPr>
      <w:r>
        <w:rPr/>
        <w:t>Водоснабжение района №4 осуществляется с гидроузла №3 по магистральному водоводу диаметром 300–400 мм. Данная магистраль подключается к кольцевой сети 3 микрорайона с диаметрами 315–400 мм. От этой же кольцевой сети запитана существующая коттеджная застройка микрорайона №4 через два трубопровода Ду=100 мм.</w:t>
      </w:r>
    </w:p>
    <w:p>
      <w:pPr>
        <w:pStyle w:val="Normal"/>
        <w:rPr/>
      </w:pPr>
      <w:r>
        <w:rPr/>
        <w:t>Для возможности водоснабжения перспективного района №3 ранее была построена водопроводная насосная станция в районе дома №2В по ул. Геодезическая с подключением от магистрального водовода диаметром 300 мм, проложенном от гидроузла №3 до микрорайона №3.</w:t>
      </w:r>
    </w:p>
    <w:p>
      <w:pPr>
        <w:pStyle w:val="Normal"/>
        <w:rPr/>
      </w:pPr>
      <w:r>
        <w:rPr/>
        <w:t>Расчет:</w:t>
      </w:r>
    </w:p>
    <w:p>
      <w:pPr>
        <w:pStyle w:val="Normal"/>
        <w:rPr/>
      </w:pPr>
      <w:r>
        <w:rPr/>
        <w:t>На момент натуральных измерений по анализу работы системы водоснабжения г. Белово на основании Технического задания на «Проведение натурных измерений по анализу работы системы водоснабжения г. Белово (2 этап)» завершалось строительство 2 ввода в 3 микрорайон диаметром 400 мм от гидроузла №7 по проекту СП-18/44. Согласно проекта СП-18/44 водовод диаметром 400 мм от гидроузла №7 через кольцевую сеть 3 микрорайона снабжает питьевой водой абонентов 3, 4, 6 микрорайонов и квартала Сосновый с максимальной часовой нагрузкой в летний период – 581,95 м³/ч. Для существующей застройки 4 микрорайона по проекту СП-18/44 максимальная часовая нагрузка в летний период – 248,4 м³/ч (69 л/с).</w:t>
      </w:r>
    </w:p>
    <w:p>
      <w:pPr>
        <w:pStyle w:val="Normal"/>
        <w:rPr/>
      </w:pPr>
      <w:r>
        <w:rPr/>
        <w:t>Пропускная способность существующих трубопроводов ПЭ 110 мм с толщиной стенки 6,6 мм при скорости потока 1,5 м/с – 11,04 л/с (таблицы Шевелева).</w:t>
      </w:r>
    </w:p>
    <w:p>
      <w:pPr>
        <w:pStyle w:val="Normal"/>
        <w:rPr/>
      </w:pPr>
      <w:r>
        <w:rPr/>
        <w:t>Согласно вышеуказанным исходным данным расчетный максимальный секундный расход воды по каждому из двух вводов в 4 микрорайон составляет – 34,5 л/с.</w:t>
      </w:r>
    </w:p>
    <w:p>
      <w:pPr>
        <w:pStyle w:val="Normal"/>
        <w:rPr/>
      </w:pPr>
      <w:r>
        <w:rPr/>
        <w:t>При данном расходе воды существующая распределительная сеть водоснабжения 4 микрорайона работает со значительным превышением рекомендуемой скорости движения воды (1,5 м/с), что негативно сказывается на давлении в трубопроводах в период полива.</w:t>
      </w:r>
    </w:p>
    <w:p>
      <w:pPr>
        <w:pStyle w:val="Normal"/>
        <w:rPr/>
      </w:pPr>
      <w:r>
        <w:rPr/>
        <w:t>Рекомендации:</w:t>
      </w:r>
    </w:p>
    <w:p>
      <w:pPr>
        <w:pStyle w:val="Normal"/>
        <w:rPr/>
      </w:pPr>
      <w:r>
        <w:rPr/>
        <w:t>Учитывая расчетные расходы, требуется замена вводных трубопроводов на 4 микрорайон с увеличением диаметров не менее чем до 160 мм и организация закольцовки через улицы Раздольная и Геодезическая, а с учетом перспективного подключения застройки 3 района (при нагрузке аналогичной существующей коттеджной застройке – 69 л/с дополнительно) диаметры вводных трубопроводов необходимо увеличить до 280 мм.</w:t>
      </w:r>
    </w:p>
    <w:p>
      <w:pPr>
        <w:pStyle w:val="Normal"/>
        <w:rPr/>
      </w:pPr>
      <w:r>
        <w:rPr/>
        <w:t>Существующую насосную станцию в районе дома №2В по ул. Геодезическая рекомендуется исключить из системы водоснабжения, так как на существующей магистрали от гидроузла №3 уже имеются проблемы с давлением, а при включении в работу ВНС ситуация с давлением усугубится. Перспективную застройку района №3 рекомендуется подключить через кольцевые сети 4 района.</w:t>
      </w:r>
    </w:p>
    <w:p>
      <w:pPr>
        <w:pStyle w:val="Normal"/>
        <w:rPr/>
      </w:pPr>
      <w:r>
        <w:rPr/>
        <w:t>После реализации данных рекомендаций необходимо будет реконструировать разводящие сети по улицам районов.</w:t>
      </w:r>
    </w:p>
    <w:p>
      <w:pPr>
        <w:pStyle w:val="Normal"/>
        <w:rPr/>
      </w:pPr>
      <w:r>
        <w:rPr/>
        <w:t>Результат:</w:t>
      </w:r>
    </w:p>
    <w:p>
      <w:pPr>
        <w:pStyle w:val="Normal"/>
        <w:rPr/>
      </w:pPr>
      <w:r>
        <w:rPr/>
        <w:t>Этапы реализации предложенных мероприятий:</w:t>
      </w:r>
    </w:p>
    <w:p>
      <w:pPr>
        <w:pStyle w:val="Style31"/>
        <w:numPr>
          <w:ilvl w:val="0"/>
          <w:numId w:val="88"/>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Район №5. Зона, расположенная рядом с 3 микрорайоном (Сосновый).</w:t>
      </w:r>
    </w:p>
    <w:p>
      <w:pPr>
        <w:pStyle w:val="Normal"/>
        <w:rPr/>
      </w:pPr>
      <w:r>
        <w:rPr/>
        <w:t>На момент натуральных измерений по анализу работы системы водоснабжения г. Белово на основании Технического задания на «Проведение натурных измерений по анализу работы системы водоснабжения г. Белово (2 этап)» планировка района не утверждена, выдать рекомендации не представляется возможным. Подключение района Сосновый необходимо будет осуществить от кольца микрорайона №3, которое учитывает водопотребление района Сосновый через водовод диаметром 400 мм с расчетной нагрузкой 581,95 м³/ч от г/у №7 до микрорайона №3.</w:t>
      </w:r>
    </w:p>
    <w:p>
      <w:pPr>
        <w:pStyle w:val="Normal"/>
        <w:rPr/>
      </w:pPr>
      <w:r>
        <w:rPr/>
        <w:t xml:space="preserve">Район №6. Ново-Белово, ул. Буденного (не приводится, мероприятия выполнены). </w:t>
      </w:r>
    </w:p>
    <w:p>
      <w:pPr>
        <w:pStyle w:val="Normal"/>
        <w:rPr/>
      </w:pPr>
      <w:r>
        <w:rPr/>
        <w:t xml:space="preserve">Район №7. Старо-Белово. </w:t>
      </w:r>
    </w:p>
    <w:p>
      <w:pPr>
        <w:pStyle w:val="Normal"/>
        <w:rPr/>
      </w:pPr>
      <w:r>
        <w:rPr/>
        <w:t>Проблема:</w:t>
      </w:r>
    </w:p>
    <w:p>
      <w:pPr>
        <w:pStyle w:val="Normal"/>
        <w:rPr/>
      </w:pPr>
      <w:r>
        <w:rPr/>
        <w:t>В летний период наблюдается падение давления в водопроводных сетях по улицам: Космическая, Красная, Маяковского, Щорса.</w:t>
      </w:r>
    </w:p>
    <w:p>
      <w:pPr>
        <w:pStyle w:val="Normal"/>
        <w:rPr/>
      </w:pPr>
      <w:r>
        <w:rPr/>
        <w:t>Исходные данные:</w:t>
      </w:r>
    </w:p>
    <w:p>
      <w:pPr>
        <w:pStyle w:val="Normal"/>
        <w:rPr/>
      </w:pPr>
      <w:r>
        <w:rPr/>
        <w:t>Водоснабжение района Старо-Белово осуществляется с гидроузла №7 от резервуаров объемом 7 000 м</w:t>
      </w:r>
      <w:r>
        <w:rPr>
          <w:vertAlign w:val="superscript"/>
        </w:rPr>
        <w:t>3</w:t>
      </w:r>
      <w:r>
        <w:rPr/>
        <w:t xml:space="preserve"> «самотеком» по магистральному водоводу диаметром 530 мм.</w:t>
      </w:r>
    </w:p>
    <w:p>
      <w:pPr>
        <w:pStyle w:val="Normal"/>
        <w:rPr/>
      </w:pPr>
      <w:r>
        <w:rPr/>
        <w:t>Геодезический напор на вводе в р-н Старо-Белово Нг≈22 м. вод. ст.</w:t>
      </w:r>
    </w:p>
    <w:p>
      <w:pPr>
        <w:pStyle w:val="Normal"/>
        <w:rPr/>
      </w:pPr>
      <w:r>
        <w:rPr/>
        <w:t>Количество домов: 260 домов;</w:t>
      </w:r>
    </w:p>
    <w:p>
      <w:pPr>
        <w:pStyle w:val="Normal"/>
        <w:rPr/>
      </w:pPr>
      <w:r>
        <w:rPr/>
        <w:t>Количество жителей в 1 доме: 3 человека;</w:t>
      </w:r>
    </w:p>
    <w:p>
      <w:pPr>
        <w:pStyle w:val="Normal"/>
        <w:rPr/>
      </w:pPr>
      <w:r>
        <w:rPr/>
        <w:t>Площадь 1 земельного участка: 250 м²;</w:t>
      </w:r>
    </w:p>
    <w:p>
      <w:pPr>
        <w:pStyle w:val="Normal"/>
        <w:rPr/>
      </w:pPr>
      <w:r>
        <w:rPr/>
        <w:t>Норматив потребления коммунальной услуги по холодному водоснабжению, куб. метр на 1 человека в месяц: 2,61 м³/мес (согласно приложению № 1 к приказу [</w:t>
      </w:r>
      <w:r>
        <w:rPr>
          <w:lang w:val="en-US"/>
        </w:rPr>
        <w:fldChar w:fldCharType="begin"/>
      </w:r>
      <w:r>
        <w:rPr>
          <w:lang w:val="en-US"/>
        </w:rPr>
        <w:instrText xml:space="preserve"> REF _Ref156881100 \n \h </w:instrText>
      </w:r>
      <w:r>
        <w:rPr>
          <w:lang w:val="en-US"/>
        </w:rPr>
        <w:fldChar w:fldCharType="separate"/>
      </w:r>
      <w:r>
        <w:rPr>
          <w:lang w:val="en-US"/>
        </w:rPr>
        <w:t>22</w:t>
      </w:r>
      <w:r>
        <w:rPr>
          <w:lang w:val="en-US"/>
        </w:rPr>
        <w:fldChar w:fldCharType="end"/>
      </w:r>
      <w:r>
        <w:rPr/>
        <w:t>]);</w:t>
      </w:r>
    </w:p>
    <w:p>
      <w:pPr>
        <w:pStyle w:val="Normal"/>
        <w:rPr/>
      </w:pPr>
      <w:r>
        <w:rPr/>
        <w:t>Расходы воды на поливку в населенных пунктах должны приниматься в зависимости от покрытия территории, способа ее поливки, вида насаждений, климатических и других местных условий по таблице 3 [</w:t>
      </w:r>
      <w:r>
        <w:rPr/>
        <w:fldChar w:fldCharType="begin"/>
      </w:r>
      <w:r>
        <w:rPr/>
        <w:instrText xml:space="preserve"> REF _Ref155464429 \n \h </w:instrText>
      </w:r>
      <w:r>
        <w:rPr/>
        <w:fldChar w:fldCharType="separate"/>
      </w:r>
      <w:r>
        <w:rPr/>
        <w:t>19</w:t>
      </w:r>
      <w:r>
        <w:rPr/>
        <w:fldChar w:fldCharType="end"/>
      </w:r>
      <w:r>
        <w:rPr/>
        <w:t xml:space="preserve">]. Поливка посадок на приусадебных участках овощных культур составляет 3–15 л/м²/сут. </w:t>
      </w:r>
    </w:p>
    <w:p>
      <w:pPr>
        <w:pStyle w:val="Normal"/>
        <w:rPr/>
      </w:pPr>
      <w:r>
        <w:rPr/>
        <w:t>По данным службы эксплуатации принято – 5 л/м²/сут., количество поливок – 1 полив в сутки.</w:t>
      </w:r>
    </w:p>
    <w:p>
      <w:pPr>
        <w:pStyle w:val="Normal"/>
        <w:rPr/>
      </w:pPr>
      <w:r>
        <w:rPr/>
        <w:t>Расход воды на пожаротушение не учитывается.</w:t>
      </w:r>
    </w:p>
    <w:p>
      <w:pPr>
        <w:pStyle w:val="Normal"/>
        <w:rPr/>
      </w:pPr>
      <w:r>
        <w:rPr/>
        <w:t>Расчет:</w:t>
      </w:r>
    </w:p>
    <w:p>
      <w:pPr>
        <w:pStyle w:val="Normal"/>
        <w:rPr/>
      </w:pPr>
      <w:r>
        <w:rPr/>
        <w:t>Согласно указанным исходным данным расчетный максимальный секундный расход воды на район Старо-Белово составляет – 13,1 л/с.</w:t>
      </w:r>
    </w:p>
    <w:p>
      <w:pPr>
        <w:pStyle w:val="Normal"/>
        <w:rPr/>
      </w:pPr>
      <w:r>
        <w:rPr/>
        <w:t>При данном расходе воды существующая распределительная сеть водоснабжения по улицам работает со значительным превышением рекомендуемой скорости движения воды (1,5 м/с), что негативно сказывается на давлении в трубопроводах в период полива. Существующий геодезический напор не позволяет компенсировать потери давления в трубопроводах.</w:t>
      </w:r>
    </w:p>
    <w:p>
      <w:pPr>
        <w:pStyle w:val="Normal"/>
        <w:rPr/>
      </w:pPr>
      <w:r>
        <w:rPr/>
        <w:t>Рекомендации:</w:t>
      </w:r>
    </w:p>
    <w:p>
      <w:pPr>
        <w:pStyle w:val="Normal"/>
        <w:rPr/>
      </w:pPr>
      <w:r>
        <w:rPr/>
        <w:t>Для решения проблем с нехваткой воды в рассматриваемый район Старо-Белово необходимо выполнение следующих мероприятий:</w:t>
      </w:r>
    </w:p>
    <w:p>
      <w:pPr>
        <w:pStyle w:val="Style31"/>
        <w:numPr>
          <w:ilvl w:val="0"/>
          <w:numId w:val="89"/>
        </w:numPr>
        <w:rPr/>
      </w:pPr>
      <w:r>
        <w:rPr/>
        <w:t>организовать два ввода в район;</w:t>
      </w:r>
    </w:p>
    <w:p>
      <w:pPr>
        <w:pStyle w:val="Style31"/>
        <w:numPr>
          <w:ilvl w:val="0"/>
          <w:numId w:val="2"/>
        </w:numPr>
        <w:rPr/>
      </w:pPr>
      <w:r>
        <w:rPr/>
        <w:t>закольцевать сети;</w:t>
      </w:r>
    </w:p>
    <w:p>
      <w:pPr>
        <w:pStyle w:val="Style31"/>
        <w:numPr>
          <w:ilvl w:val="0"/>
          <w:numId w:val="2"/>
        </w:numPr>
        <w:rPr/>
      </w:pPr>
      <w:r>
        <w:rPr/>
        <w:t>переложить зауженные участки сети.</w:t>
      </w:r>
    </w:p>
    <w:p>
      <w:pPr>
        <w:pStyle w:val="Normal"/>
        <w:rPr/>
      </w:pPr>
      <w:r>
        <w:rPr/>
        <w:t>Мероприятия для решения проблем представлены в приложении 6.2.</w:t>
      </w:r>
    </w:p>
    <w:p>
      <w:pPr>
        <w:pStyle w:val="Normal"/>
        <w:rPr/>
      </w:pPr>
      <w:r>
        <w:rPr/>
        <w:t>Результат:</w:t>
      </w:r>
    </w:p>
    <w:p>
      <w:pPr>
        <w:pStyle w:val="Normal"/>
        <w:rPr/>
      </w:pPr>
      <w:r>
        <w:rPr/>
        <w:t>Скорость движения воды в трубопроводах в пределах рекомендуемых, давление для одноэтажной застройки абонентов находится в диапазоне 10–60 м. вод. ст.</w:t>
      </w:r>
    </w:p>
    <w:p>
      <w:pPr>
        <w:pStyle w:val="Normal"/>
        <w:rPr/>
      </w:pPr>
      <w:r>
        <w:rPr/>
        <w:t>Этапы реализации предложенных мероприятий:</w:t>
      </w:r>
    </w:p>
    <w:p>
      <w:pPr>
        <w:pStyle w:val="Style31"/>
        <w:numPr>
          <w:ilvl w:val="0"/>
          <w:numId w:val="90"/>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 xml:space="preserve">Район №8 – пгт. Инской. </w:t>
      </w:r>
    </w:p>
    <w:p>
      <w:pPr>
        <w:pStyle w:val="Normal"/>
        <w:rPr/>
      </w:pPr>
      <w:r>
        <w:rPr/>
        <w:t>Проблема:</w:t>
      </w:r>
    </w:p>
    <w:p>
      <w:pPr>
        <w:pStyle w:val="Normal"/>
        <w:rPr/>
      </w:pPr>
      <w:r>
        <w:rPr/>
        <w:t>В летний период наблюдается падение давления в водопроводных сетях по следующим адресам: ул. Березовая, 1-12, ул. Российская, 1-20, ул. Сибиряков, 1-17.</w:t>
      </w:r>
    </w:p>
    <w:p>
      <w:pPr>
        <w:pStyle w:val="Normal"/>
        <w:rPr/>
      </w:pPr>
      <w:r>
        <w:rPr/>
        <w:t>Исходные данные:</w:t>
      </w:r>
    </w:p>
    <w:p>
      <w:pPr>
        <w:pStyle w:val="Normal"/>
        <w:rPr/>
      </w:pPr>
      <w:r>
        <w:rPr/>
        <w:t>Водоснабжение домов по указанным адресам осуществляется по трубопроводам с диаметрами (50–100 мм). Рассматриваемые дома располагаются в районе с геодезической отметкой – 234 м. Геодезическая отметка нижерасположенных улиц: Российская, 50 лет Победы, Сибиряков – 215 м.</w:t>
      </w:r>
    </w:p>
    <w:p>
      <w:pPr>
        <w:pStyle w:val="Normal"/>
        <w:rPr/>
      </w:pPr>
      <w:r>
        <w:rPr/>
        <w:t>Рекомендации:</w:t>
      </w:r>
    </w:p>
    <w:p>
      <w:pPr>
        <w:pStyle w:val="Normal"/>
        <w:rPr/>
      </w:pPr>
      <w:r>
        <w:rPr/>
        <w:t>Для улучшения водоснабжения индивидуальных жилых домов по следующим адресам: ул. Березовая, 1-12, ул. Российская, 1-20, ул. Сибиряков, 1-17 рекомендуется выполнение следующих мероприятий:</w:t>
      </w:r>
    </w:p>
    <w:p>
      <w:pPr>
        <w:pStyle w:val="Style31"/>
        <w:numPr>
          <w:ilvl w:val="0"/>
          <w:numId w:val="91"/>
        </w:numPr>
        <w:rPr/>
      </w:pPr>
      <w:r>
        <w:rPr/>
        <w:t>реконструкция трубопровода диаметром 100 мм от ВК-1200 у дома №49 по ул. Ильича до ВК-1171 у дома №2 по ул. Кленовая с увеличением диаметра до 160 мм ПЭ, L≈272 м;</w:t>
      </w:r>
    </w:p>
    <w:p>
      <w:pPr>
        <w:pStyle w:val="Style31"/>
        <w:numPr>
          <w:ilvl w:val="0"/>
          <w:numId w:val="2"/>
        </w:numPr>
        <w:rPr/>
      </w:pPr>
      <w:r>
        <w:rPr/>
        <w:t>строительство трубопровода диаметром 160 мм ПЭ, L≈466 м по ул. Родины от ВК-1171 у дома №2 по ул. Кленовая до ВК-2836 у дома №9 по ул. Березовая;</w:t>
      </w:r>
    </w:p>
    <w:p>
      <w:pPr>
        <w:pStyle w:val="Style31"/>
        <w:numPr>
          <w:ilvl w:val="0"/>
          <w:numId w:val="2"/>
        </w:numPr>
        <w:rPr/>
      </w:pPr>
      <w:r>
        <w:rPr/>
        <w:t>реконструкция трубопровода диаметром 63 мм от ВК-2836 у дома №9 по ул. Березовая через ВК-2834 до ВК-2831 у дома №9 по ул. Сибирская с увеличением диаметра до 160 мм ПЭ, L≈106 м.</w:t>
      </w:r>
    </w:p>
    <w:p>
      <w:pPr>
        <w:pStyle w:val="Normal"/>
        <w:rPr/>
      </w:pPr>
      <w:r>
        <w:rPr/>
        <w:t>Результат:</w:t>
      </w:r>
    </w:p>
    <w:p>
      <w:pPr>
        <w:pStyle w:val="Normal"/>
        <w:rPr/>
      </w:pPr>
      <w:r>
        <w:rPr/>
        <w:t>Этапы реализации предложенных мероприятий:</w:t>
      </w:r>
    </w:p>
    <w:p>
      <w:pPr>
        <w:pStyle w:val="Style31"/>
        <w:numPr>
          <w:ilvl w:val="0"/>
          <w:numId w:val="92"/>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Normal"/>
        <w:rPr/>
      </w:pPr>
      <w:r>
        <w:rPr/>
        <w:t xml:space="preserve">Район №9 – микрорайон Чертинский. </w:t>
      </w:r>
    </w:p>
    <w:p>
      <w:pPr>
        <w:pStyle w:val="Normal"/>
        <w:rPr/>
      </w:pPr>
      <w:r>
        <w:rPr/>
        <w:t>Проблема:</w:t>
      </w:r>
    </w:p>
    <w:p>
      <w:pPr>
        <w:pStyle w:val="Normal"/>
        <w:rPr/>
      </w:pPr>
      <w:r>
        <w:rPr/>
        <w:t>Физический износ магистральных водоводов.</w:t>
      </w:r>
    </w:p>
    <w:p>
      <w:pPr>
        <w:pStyle w:val="Normal"/>
        <w:rPr/>
      </w:pPr>
      <w:r>
        <w:rPr/>
        <w:t>Исходные данные:</w:t>
      </w:r>
    </w:p>
    <w:p>
      <w:pPr>
        <w:pStyle w:val="Normal"/>
        <w:rPr/>
      </w:pPr>
      <w:r>
        <w:rPr/>
        <w:t>Водопровод с диаметрами 160–250 мм на участке ВК-6223 – ВК-2394 от старого здания школы №5 по ул. Победы, 5, по ул. Каспийская до пересечения ул. Пархоменко и ул. Сурикова требует замены в связи с участившимися авариями.</w:t>
      </w:r>
    </w:p>
    <w:p>
      <w:pPr>
        <w:pStyle w:val="Normal"/>
        <w:rPr/>
      </w:pPr>
      <w:r>
        <w:rPr/>
        <w:t>Водопровод диаметром 300 мм на участке от КП (ВК-3738) у дома №1 по ул. Володарского до ВК-3759 у дома №3 по ул. 1 Телеут выведен из работы в связи с аварийным состоянием.</w:t>
      </w:r>
    </w:p>
    <w:p>
      <w:pPr>
        <w:pStyle w:val="Normal"/>
        <w:rPr/>
      </w:pPr>
      <w:r>
        <w:rPr/>
        <w:t>Рекомендации:</w:t>
      </w:r>
    </w:p>
    <w:p>
      <w:pPr>
        <w:pStyle w:val="Normal"/>
        <w:rPr/>
      </w:pPr>
      <w:r>
        <w:rPr/>
        <w:t>Для улучшения водоснабжения мкр. Чертинский рекомендуется выполнение следующих мероприятий:</w:t>
      </w:r>
    </w:p>
    <w:p>
      <w:pPr>
        <w:pStyle w:val="Style31"/>
        <w:numPr>
          <w:ilvl w:val="0"/>
          <w:numId w:val="93"/>
        </w:numPr>
        <w:rPr/>
      </w:pPr>
      <w:r>
        <w:rPr/>
        <w:t>замена трубопровода от ВК-6223 у старого здания школы №5 по ул. Победы, 5 через ВК-6204, ВК-6307 до ВК-6291 у дома №2 по ул. Черноморская на трубопровод диаметром 225 мм ПЭ, L≈802 м;</w:t>
      </w:r>
    </w:p>
    <w:p>
      <w:pPr>
        <w:pStyle w:val="Style31"/>
        <w:numPr>
          <w:ilvl w:val="0"/>
          <w:numId w:val="2"/>
        </w:numPr>
        <w:rPr/>
      </w:pPr>
      <w:r>
        <w:rPr/>
        <w:t>замена трубопровода от ВК-6291 у дома №2 по ул. Черноморская до ВК-2394 у дома №18 по ул. Пархоменко на трубопровод диаметром 225 мм ПЭ, L≈1 078 м;</w:t>
      </w:r>
    </w:p>
    <w:p>
      <w:pPr>
        <w:pStyle w:val="Style31"/>
        <w:numPr>
          <w:ilvl w:val="0"/>
          <w:numId w:val="2"/>
        </w:numPr>
        <w:rPr/>
      </w:pPr>
      <w:r>
        <w:rPr/>
        <w:t>замена трубопровода от КП (ВК-3738) у дома №1 по ул. Володарского до ВК-6398 у остановки Энергоремзавод на трубопровод диаметром 315 мм ПЭ, L≈944 м;</w:t>
      </w:r>
    </w:p>
    <w:p>
      <w:pPr>
        <w:pStyle w:val="Style31"/>
        <w:numPr>
          <w:ilvl w:val="0"/>
          <w:numId w:val="2"/>
        </w:numPr>
        <w:rPr/>
      </w:pPr>
      <w:r>
        <w:rPr/>
        <w:t>замена трубопровода от ВК-3525 у дома №61 по ул. 1 Телеут через Уз-865, ВК-6329 до ВК-6187 у остановки Кирзавод на трубопровод диаметром 160 мм ПЭ, L≈913 м.</w:t>
      </w:r>
    </w:p>
    <w:p>
      <w:pPr>
        <w:pStyle w:val="Normal"/>
        <w:rPr/>
      </w:pPr>
      <w:r>
        <w:rPr/>
        <w:t>Результат:</w:t>
      </w:r>
    </w:p>
    <w:p>
      <w:pPr>
        <w:pStyle w:val="Normal"/>
        <w:rPr/>
      </w:pPr>
      <w:r>
        <w:rPr/>
        <w:t>Этапы реализации предложенных мероприятий:</w:t>
      </w:r>
    </w:p>
    <w:p>
      <w:pPr>
        <w:pStyle w:val="Style31"/>
        <w:numPr>
          <w:ilvl w:val="0"/>
          <w:numId w:val="94"/>
        </w:numPr>
        <w:rPr/>
      </w:pPr>
      <w:r>
        <w:rPr/>
        <w:t>выполнение инженерных изысканий;</w:t>
      </w:r>
    </w:p>
    <w:p>
      <w:pPr>
        <w:pStyle w:val="Style31"/>
        <w:numPr>
          <w:ilvl w:val="0"/>
          <w:numId w:val="2"/>
        </w:numPr>
        <w:rPr/>
      </w:pPr>
      <w:r>
        <w:rPr/>
        <w:t>разработка проектной и рабочей документации;</w:t>
      </w:r>
    </w:p>
    <w:p>
      <w:pPr>
        <w:pStyle w:val="Style31"/>
        <w:numPr>
          <w:ilvl w:val="0"/>
          <w:numId w:val="2"/>
        </w:numPr>
        <w:rPr/>
      </w:pPr>
      <w:r>
        <w:rPr/>
        <w:t>экспертиза документации;</w:t>
      </w:r>
    </w:p>
    <w:p>
      <w:pPr>
        <w:pStyle w:val="Style31"/>
        <w:numPr>
          <w:ilvl w:val="0"/>
          <w:numId w:val="2"/>
        </w:numPr>
        <w:rPr/>
      </w:pPr>
      <w:r>
        <w:rPr/>
        <w:t>выполнение СМР.</w:t>
      </w:r>
    </w:p>
    <w:p>
      <w:pPr>
        <w:pStyle w:val="4"/>
        <w:rPr/>
      </w:pPr>
      <w:bookmarkStart w:id="49" w:name="_Toc158814561"/>
      <w:r>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49"/>
    </w:p>
    <w:p>
      <w:pPr>
        <w:pStyle w:val="Normal"/>
        <w:rPr/>
      </w:pPr>
      <w:r>
        <w:rPr/>
        <w:t xml:space="preserve">К основным техническим и технологическим проблемам ЦС ХВС Беловского ГО относятся: </w:t>
      </w:r>
    </w:p>
    <w:p>
      <w:pPr>
        <w:pStyle w:val="Style31"/>
        <w:numPr>
          <w:ilvl w:val="0"/>
          <w:numId w:val="95"/>
        </w:numPr>
        <w:rPr/>
      </w:pPr>
      <w:r>
        <w:rPr/>
        <w:t>значительный износ магистральных водопроводов (протяженность магистральных водопроводных сетей, которые требуют немедленной замены, составляет не менее 94,1 км);</w:t>
      </w:r>
    </w:p>
    <w:p>
      <w:pPr>
        <w:pStyle w:val="Style31"/>
        <w:numPr>
          <w:ilvl w:val="0"/>
          <w:numId w:val="96"/>
        </w:numPr>
        <w:rPr/>
      </w:pPr>
      <w:r>
        <w:rPr/>
        <w:t>неспособность существующей системы магистральных и разводящих водопроводных сетей обеспечить бесперебойное водоснабжение в отдельных районах индивидуальной жилой застройки в пиковый, поливочный период, т.к. полив приусадебных участков ведется населением из общей сети хозяйственно-питьевого водопровода.</w:t>
      </w:r>
    </w:p>
    <w:p>
      <w:pPr>
        <w:pStyle w:val="Normal"/>
        <w:rPr/>
      </w:pPr>
      <w:r>
        <w:rPr/>
        <w:t xml:space="preserve">Предписания органов, осуществляющих государственный надзор, муниципальный контроль по нарушениям в ЦС ХВС, влияющим на качество и безопасность воды на территории Беловского ГО, не выдавались (отсутствуют). </w:t>
      </w:r>
    </w:p>
    <w:p>
      <w:pPr>
        <w:pStyle w:val="4"/>
        <w:rPr/>
      </w:pPr>
      <w:bookmarkStart w:id="50" w:name="_Toc158814562"/>
      <w:bookmarkStart w:id="51" w:name="_Описание_централизованной_системы"/>
      <w:bookmarkEnd w:id="51"/>
      <w:r>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0"/>
    </w:p>
    <w:p>
      <w:pPr>
        <w:pStyle w:val="Normal"/>
        <w:rPr/>
      </w:pPr>
      <w:r>
        <w:rPr/>
        <w:t xml:space="preserve">Перечень теплоснабжающих (теплосетевых) организаций, осуществляющих эксплуатацию объектов ЦС ГВС на территории Беловского ГО, приведен выше в </w:t>
      </w:r>
      <w:hyperlink w:anchor="_Описание_системы_и">
        <w:r>
          <w:rPr>
            <w:rStyle w:val="-"/>
          </w:rPr>
          <w:t>подразделе 1.1.1</w:t>
        </w:r>
      </w:hyperlink>
      <w:r>
        <w:rPr/>
        <w:t xml:space="preserve"> (</w:t>
      </w:r>
      <w:r>
        <w:rPr/>
        <w:fldChar w:fldCharType="begin"/>
      </w:r>
      <w:r>
        <w:rPr/>
        <w:instrText xml:space="preserve"> REF _Ref155284409 \h </w:instrText>
      </w:r>
      <w:r>
        <w:rPr/>
        <w:fldChar w:fldCharType="separate"/>
      </w:r>
      <w:r>
        <w:rPr/>
        <w:t>Таблица 1.1.2</w:t>
      </w:r>
      <w:r>
        <w:rPr/>
        <w:fldChar w:fldCharType="end"/>
      </w:r>
      <w:r>
        <w:rPr/>
        <w:t xml:space="preserve"> и описание после таблицы). </w:t>
      </w:r>
    </w:p>
    <w:p>
      <w:pPr>
        <w:pStyle w:val="Normal"/>
        <w:rPr/>
      </w:pPr>
      <w:r>
        <w:rPr/>
        <w:t>В соответствии со схемой теплоснабжения Беловского ГО [</w:t>
      </w:r>
      <w:r>
        <w:rPr/>
        <w:fldChar w:fldCharType="begin"/>
      </w:r>
      <w:r>
        <w:rPr/>
        <w:instrText xml:space="preserve"> REF _Ref156931289 \n \h </w:instrText>
      </w:r>
      <w:r>
        <w:rPr/>
        <w:fldChar w:fldCharType="separate"/>
      </w:r>
      <w:r>
        <w:rPr/>
        <w:t>23</w:t>
      </w:r>
      <w:r>
        <w:rPr/>
        <w:fldChar w:fldCharType="end"/>
      </w:r>
      <w:r>
        <w:rPr/>
        <w:t>], на территории городского округа функционируют четыре теплоснабжающих (теплосетевых) организации:</w:t>
      </w:r>
    </w:p>
    <w:p>
      <w:pPr>
        <w:pStyle w:val="Style31"/>
        <w:numPr>
          <w:ilvl w:val="0"/>
          <w:numId w:val="97"/>
        </w:numPr>
        <w:rPr/>
      </w:pPr>
      <w:r>
        <w:rPr/>
        <w:t>АО «Кузбассэнерго» – эксплуатирует источник с комбинированной выработкой тепловой и электрической энергией Беловская ГРЭС с суммарной установленной мощностью теплогенерирующего оборудования 458,4 Гкал/ч и тепловые сети от источника;</w:t>
      </w:r>
    </w:p>
    <w:p>
      <w:pPr>
        <w:pStyle w:val="Style31"/>
        <w:numPr>
          <w:ilvl w:val="0"/>
          <w:numId w:val="2"/>
        </w:numPr>
        <w:rPr/>
      </w:pPr>
      <w:r>
        <w:rPr/>
        <w:t>ООО «Теплоэнергетик» – эксплуатирует 12 котельных с суммарной установленной мощностью теплогенерирующего оборудования 98,1 Гкал/ч и тепловые сети от них;</w:t>
      </w:r>
    </w:p>
    <w:p>
      <w:pPr>
        <w:pStyle w:val="Style31"/>
        <w:numPr>
          <w:ilvl w:val="0"/>
          <w:numId w:val="2"/>
        </w:numPr>
        <w:rPr/>
      </w:pPr>
      <w:r>
        <w:rPr/>
        <w:t>ООО «ТВК» – эксплуатирует 1 угольную котельную с суммарной установленной мощностью теплогенерирующего оборудования 90,0 Гкал/ч и тепловые сети от котельной;</w:t>
      </w:r>
    </w:p>
    <w:p>
      <w:pPr>
        <w:pStyle w:val="Style31"/>
        <w:numPr>
          <w:ilvl w:val="0"/>
          <w:numId w:val="2"/>
        </w:numPr>
        <w:rPr/>
      </w:pPr>
      <w:r>
        <w:rPr/>
        <w:t>ООО «ЭК» – эксплуатирует 1 угольную котельную с суммарной установленной мощностью теплогенерирующего оборудования 80,0 Гкал/ч и тепловые сети от котельной.</w:t>
      </w:r>
    </w:p>
    <w:p>
      <w:pPr>
        <w:pStyle w:val="Normal"/>
        <w:rPr/>
      </w:pPr>
      <w:r>
        <w:rPr/>
        <w:t>Источники тепловой энергии в эксплуатационных зонах АО «Кузбассэнерго», ООО «ТВК» и ООО «ЭК» осуществляют горячее водоснабжение абонентов по открытой системе теплоснабжения.</w:t>
      </w:r>
    </w:p>
    <w:p>
      <w:pPr>
        <w:pStyle w:val="Normal"/>
        <w:rPr/>
      </w:pPr>
      <w:r>
        <w:rPr/>
        <w:t xml:space="preserve">В эксплуатационной зоне ООО «Теплоэнергетик» 1 источник тепловой энергии осуществляет горячее водоснабжение абонентов по закрытой системе теплоснабжения, а именно: </w:t>
      </w:r>
    </w:p>
    <w:p>
      <w:pPr>
        <w:pStyle w:val="Style31"/>
        <w:numPr>
          <w:ilvl w:val="0"/>
          <w:numId w:val="98"/>
        </w:numPr>
        <w:rPr/>
      </w:pPr>
      <w:r>
        <w:rPr/>
        <w:t>котельная микрорайона «Ивушка».</w:t>
      </w:r>
    </w:p>
    <w:p>
      <w:pPr>
        <w:pStyle w:val="Normal"/>
        <w:rPr/>
      </w:pPr>
      <w:r>
        <w:rPr/>
        <w:t xml:space="preserve">Прочие источники тепловой энергии в эксплуатационной зоне ООО «Теплоэнергетик» осуществляют горячее водоснабжение абонентов по открытой системе теплоснабжения. </w:t>
      </w:r>
    </w:p>
    <w:p>
      <w:pPr>
        <w:pStyle w:val="Normal"/>
        <w:rPr/>
      </w:pPr>
      <w:r>
        <w:rPr/>
        <w:t>По результатам анализа, выполненного в составе Главы 9 схемы теплоснабжения Беловского ГО [</w:t>
      </w:r>
      <w:r>
        <w:rPr/>
        <w:fldChar w:fldCharType="begin"/>
      </w:r>
      <w:r>
        <w:rPr/>
        <w:instrText xml:space="preserve"> REF _Ref156931289 \n \h </w:instrText>
      </w:r>
      <w:r>
        <w:rPr/>
        <w:fldChar w:fldCharType="separate"/>
      </w:r>
      <w:r>
        <w:rPr/>
        <w:t>23</w:t>
      </w:r>
      <w:r>
        <w:rPr/>
        <w:fldChar w:fldCharType="end"/>
      </w:r>
      <w:r>
        <w:rPr/>
        <w:t>], перевод существующих открытых систем теплоснабжения (горячего водоснабжения) в закрытые системы горячего водоснабжения при нынешнем уровне цен на тепловую энергию и подготовку воды на подпитку системы теплоснабжения экономически не обоснован, следовательно, мероприятий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не требуется.</w:t>
      </w:r>
    </w:p>
    <w:p>
      <w:pPr>
        <w:pStyle w:val="3"/>
        <w:rPr/>
      </w:pPr>
      <w:bookmarkStart w:id="52" w:name="_Toc158814563"/>
      <w:r>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52"/>
    </w:p>
    <w:p>
      <w:pPr>
        <w:pStyle w:val="Normal"/>
        <w:rPr/>
      </w:pPr>
      <w:r>
        <w:rPr/>
        <w:t>В Беловском ГО отсутствуют территории распространения вечномерзлых грунтов, в связи с чем на рассматриваемом в рамках настоящей работы перспективном периоде не предусматривается проработка технических и технологических решений по предотвращению замерзания воды.</w:t>
      </w:r>
    </w:p>
    <w:p>
      <w:pPr>
        <w:pStyle w:val="3"/>
        <w:rPr/>
      </w:pPr>
      <w:bookmarkStart w:id="53" w:name="_Toc158814564"/>
      <w:r>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53"/>
    </w:p>
    <w:p>
      <w:pPr>
        <w:pStyle w:val="Normal"/>
        <w:rPr/>
      </w:pPr>
      <w:r>
        <w:rPr/>
        <w:t xml:space="preserve">Перечень объектов ЦС ХВС, эксплуатируемых организациями ВКХ на территории Беловского ГО, представлен выше в составе подразделов </w:t>
      </w:r>
      <w:hyperlink w:anchor="_Описание_системы_и">
        <w:r>
          <w:rPr>
            <w:rStyle w:val="-"/>
          </w:rPr>
          <w:t>1.1.1</w:t>
        </w:r>
      </w:hyperlink>
      <w:r>
        <w:rPr/>
        <w:t xml:space="preserve"> и </w:t>
      </w:r>
      <w:hyperlink w:anchor="_Описание_результатов_технического">
        <w:r>
          <w:rPr>
            <w:rStyle w:val="-"/>
          </w:rPr>
          <w:t>1.1.4</w:t>
        </w:r>
      </w:hyperlink>
      <w:r>
        <w:rPr/>
        <w:t>.</w:t>
      </w:r>
    </w:p>
    <w:p>
      <w:pPr>
        <w:pStyle w:val="Normal"/>
        <w:rPr/>
      </w:pPr>
      <w:r>
        <w:rPr/>
        <w:t xml:space="preserve">Все объекты ЦС ХВС в районе центральной части г. Белово, 3 мкрн, 4 мкрн, 6 мкрн, квартала Сосновый, пгт. Инской, пгт. Новый Городок, с. Заречное находятся в собственности администрации Беловского ГО и переданы в эксплуатацию ООО «Водоснабжение» на правах аренды. </w:t>
      </w:r>
    </w:p>
    <w:p>
      <w:pPr>
        <w:pStyle w:val="Normal"/>
        <w:rPr/>
      </w:pPr>
      <w:r>
        <w:rPr/>
        <w:t>Все объекты ЦС ХВС в районе пгт. Грамотеино и д. Грамотеино Беловского ГО находятся в собственности администрации Беловского ГО и переданы в эксплуатацию МУП «Водоканал» на основании договора хозяйственного ведения от 16.04.2018 № 02/18 и дополнительного соглашения к указанному договору от 09.08.2018 № 1.</w:t>
      </w:r>
    </w:p>
    <w:p>
      <w:pPr>
        <w:pStyle w:val="Normal"/>
        <w:rPr/>
      </w:pPr>
      <w:r>
        <w:rPr/>
        <w:t xml:space="preserve">Все объекты ЦС ХВС в районе пгт. Бачатский (в т.ч. мкр. Финский) находятся в собственности администрации Беловского ГО и переданы в эксплуатацию ООО «ЭК» на правах аренды. </w:t>
      </w:r>
    </w:p>
    <w:p>
      <w:pPr>
        <w:pStyle w:val="2"/>
        <w:rPr/>
      </w:pPr>
      <w:bookmarkStart w:id="54" w:name="_Toc158814565"/>
      <w:r>
        <w:rPr/>
        <w:t>Направления развития централизованных систем водоснабжения</w:t>
      </w:r>
      <w:bookmarkEnd w:id="54"/>
    </w:p>
    <w:p>
      <w:pPr>
        <w:pStyle w:val="3"/>
        <w:rPr/>
      </w:pPr>
      <w:bookmarkStart w:id="55" w:name="_Toc158814566"/>
      <w:bookmarkStart w:id="56" w:name="_Основные_направления,_принципы,"/>
      <w:bookmarkEnd w:id="56"/>
      <w:r>
        <w:rPr/>
        <w:t>Основные направления, принципы, задачи и плановые значения показателей развития централизованных систем водоснабжения</w:t>
      </w:r>
      <w:bookmarkEnd w:id="55"/>
    </w:p>
    <w:p>
      <w:pPr>
        <w:pStyle w:val="Normal"/>
        <w:rPr/>
      </w:pPr>
      <w:r>
        <w:rPr/>
        <w:t>В соответствии с пунктом 1 статьи 3 [</w:t>
      </w:r>
      <w:r>
        <w:rPr/>
        <w:fldChar w:fldCharType="begin"/>
      </w:r>
      <w:r>
        <w:rPr/>
        <w:instrText xml:space="preserve"> REF _Ref154925037 \n \h </w:instrText>
      </w:r>
      <w:r>
        <w:rPr/>
        <w:fldChar w:fldCharType="separate"/>
      </w:r>
      <w:r>
        <w:rPr/>
        <w:t>2</w:t>
      </w:r>
      <w:r>
        <w:rPr/>
        <w:fldChar w:fldCharType="end"/>
      </w:r>
      <w:r>
        <w:rPr/>
        <w:t>] государственная политика в сфере водоснабжения и водоотведения направлена на достижение следующих целей:</w:t>
      </w:r>
    </w:p>
    <w:p>
      <w:pPr>
        <w:pStyle w:val="Style31"/>
        <w:numPr>
          <w:ilvl w:val="0"/>
          <w:numId w:val="99"/>
        </w:numPr>
        <w:rPr/>
      </w:pPr>
      <w:r>
        <w:rPr/>
        <w:t>охраны здоровья населения и улучшения качества жизни населения путем обеспечения бесперебойного и качественного водоснабжения и водоотведения;</w:t>
      </w:r>
    </w:p>
    <w:p>
      <w:pPr>
        <w:pStyle w:val="Style31"/>
        <w:numPr>
          <w:ilvl w:val="0"/>
          <w:numId w:val="2"/>
        </w:numPr>
        <w:rPr/>
      </w:pPr>
      <w:r>
        <w:rPr/>
        <w:t>повышения энергетической эффективности путем экономного потребления воды;</w:t>
      </w:r>
    </w:p>
    <w:p>
      <w:pPr>
        <w:pStyle w:val="Style31"/>
        <w:numPr>
          <w:ilvl w:val="0"/>
          <w:numId w:val="2"/>
        </w:numPr>
        <w:rPr/>
      </w:pPr>
      <w:r>
        <w:rPr/>
        <w:t>снижения негативного воздействия на водные объекты путем повышения качества очистки сточных вод;</w:t>
      </w:r>
    </w:p>
    <w:p>
      <w:pPr>
        <w:pStyle w:val="Style31"/>
        <w:numPr>
          <w:ilvl w:val="0"/>
          <w:numId w:val="2"/>
        </w:numPr>
        <w:rPr/>
      </w:pPr>
      <w:r>
        <w:rPr/>
        <w:t>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pPr>
        <w:pStyle w:val="Style31"/>
        <w:numPr>
          <w:ilvl w:val="0"/>
          <w:numId w:val="2"/>
        </w:numPr>
        <w:rPr/>
      </w:pPr>
      <w:r>
        <w:rPr/>
        <w:t xml:space="preserve">обеспечения развития централизованных систем горячего водоснабжения,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 </w:t>
      </w:r>
    </w:p>
    <w:p>
      <w:pPr>
        <w:pStyle w:val="Normal"/>
        <w:rPr/>
      </w:pPr>
      <w:r>
        <w:rPr/>
        <w:t>В соответствии с пунктом 2 статьи 3 [</w:t>
      </w:r>
      <w:r>
        <w:rPr/>
        <w:fldChar w:fldCharType="begin"/>
      </w:r>
      <w:r>
        <w:rPr/>
        <w:instrText xml:space="preserve"> REF _Ref154925037 \n \h </w:instrText>
      </w:r>
      <w:r>
        <w:rPr/>
        <w:fldChar w:fldCharType="separate"/>
      </w:r>
      <w:r>
        <w:rPr/>
        <w:t>2</w:t>
      </w:r>
      <w:r>
        <w:rPr/>
        <w:fldChar w:fldCharType="end"/>
      </w:r>
      <w:r>
        <w:rPr/>
        <w:t>] общими принципами государственной политики в сфере водоснабжения и водоотведения являются:</w:t>
      </w:r>
    </w:p>
    <w:p>
      <w:pPr>
        <w:pStyle w:val="Style31"/>
        <w:numPr>
          <w:ilvl w:val="0"/>
          <w:numId w:val="100"/>
        </w:numPr>
        <w:rPr/>
      </w:pPr>
      <w:r>
        <w:rPr/>
        <w:t>приоритетность обеспечения населения питьевой водой, горячей водой и услугами по водоотведению;</w:t>
      </w:r>
    </w:p>
    <w:p>
      <w:pPr>
        <w:pStyle w:val="Style31"/>
        <w:numPr>
          <w:ilvl w:val="0"/>
          <w:numId w:val="2"/>
        </w:numPr>
        <w:rPr/>
      </w:pPr>
      <w:r>
        <w:rPr/>
        <w:t>создание условий для привлечения инвестиций в сферу водоснабжения и водоотведения, обеспечение гарантий возврата частных инвестиций;</w:t>
      </w:r>
    </w:p>
    <w:p>
      <w:pPr>
        <w:pStyle w:val="Style31"/>
        <w:numPr>
          <w:ilvl w:val="0"/>
          <w:numId w:val="2"/>
        </w:numPr>
        <w:rPr/>
      </w:pPr>
      <w:r>
        <w:rPr/>
        <w:t>обеспечение технологического и организационного единства и целостности централизованных систем горячего водоснабжения, холодного водоснабжения и (или) водоотведения;</w:t>
      </w:r>
    </w:p>
    <w:p>
      <w:pPr>
        <w:pStyle w:val="Style31"/>
        <w:numPr>
          <w:ilvl w:val="0"/>
          <w:numId w:val="2"/>
        </w:numPr>
        <w:rPr/>
      </w:pPr>
      <w:r>
        <w:rP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pPr>
        <w:pStyle w:val="Style31"/>
        <w:numPr>
          <w:ilvl w:val="0"/>
          <w:numId w:val="2"/>
        </w:numPr>
        <w:rPr/>
      </w:pPr>
      <w:r>
        <w:rPr/>
        <w:t>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pPr>
        <w:pStyle w:val="Style31"/>
        <w:numPr>
          <w:ilvl w:val="0"/>
          <w:numId w:val="2"/>
        </w:numPr>
        <w:rPr/>
      </w:pPr>
      <w:r>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pPr>
        <w:pStyle w:val="Style31"/>
        <w:numPr>
          <w:ilvl w:val="0"/>
          <w:numId w:val="2"/>
        </w:numPr>
        <w:rPr/>
      </w:pPr>
      <w:r>
        <w:rPr/>
        <w:t>обеспечение равных условий доступа абонентов к водоснабжению и водоотведению;</w:t>
      </w:r>
    </w:p>
    <w:p>
      <w:pPr>
        <w:pStyle w:val="Style31"/>
        <w:numPr>
          <w:ilvl w:val="0"/>
          <w:numId w:val="2"/>
        </w:numPr>
        <w:rPr/>
      </w:pPr>
      <w:r>
        <w:rPr/>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pPr>
        <w:pStyle w:val="Normal"/>
        <w:rPr/>
      </w:pPr>
      <w:r>
        <w:rPr/>
        <w:t>Исходя из обозначенных целей и принципов государственной политики в сфере водоснабжения и водоотведения, а также в соответствии с пунктом 10 [</w:t>
      </w:r>
      <w:r>
        <w:rPr/>
        <w:fldChar w:fldCharType="begin"/>
      </w:r>
      <w:r>
        <w:rPr/>
        <w:instrText xml:space="preserve"> REF _Ref154925043 \n \h </w:instrText>
      </w:r>
      <w:r>
        <w:rPr/>
        <w:fldChar w:fldCharType="separate"/>
      </w:r>
      <w:r>
        <w:rPr/>
        <w:t>3</w:t>
      </w:r>
      <w:r>
        <w:rPr/>
        <w:fldChar w:fldCharType="end"/>
      </w:r>
      <w:r>
        <w:rPr/>
        <w:t>], в рамках настоящей работы сформированы следующие основные задачи развития централизованных систем водоснабжения:</w:t>
      </w:r>
    </w:p>
    <w:p>
      <w:pPr>
        <w:pStyle w:val="Style31"/>
        <w:numPr>
          <w:ilvl w:val="0"/>
          <w:numId w:val="101"/>
        </w:numPr>
        <w:rPr/>
      </w:pPr>
      <w:r>
        <w:rPr/>
        <w:t>обеспечение подачи абонентам определенного объема горячей, питьевой воды установленного качества;</w:t>
      </w:r>
    </w:p>
    <w:p>
      <w:pPr>
        <w:pStyle w:val="Style31"/>
        <w:numPr>
          <w:ilvl w:val="0"/>
          <w:numId w:val="2"/>
        </w:numPr>
        <w:rPr/>
      </w:pPr>
      <w:r>
        <w:rPr/>
        <w:t>организация и обеспечение централизованного водоснабжения на территориях, где оно отсутствует;</w:t>
      </w:r>
    </w:p>
    <w:p>
      <w:pPr>
        <w:pStyle w:val="Style31"/>
        <w:numPr>
          <w:ilvl w:val="0"/>
          <w:numId w:val="2"/>
        </w:numPr>
        <w:rPr/>
      </w:pPr>
      <w:r>
        <w:rPr/>
        <w:t>обеспечение водоснабжения объектов перспективной застройки населенного пункта;</w:t>
      </w:r>
    </w:p>
    <w:p>
      <w:pPr>
        <w:pStyle w:val="Style31"/>
        <w:numPr>
          <w:ilvl w:val="0"/>
          <w:numId w:val="2"/>
        </w:numPr>
        <w:rPr/>
      </w:pPr>
      <w:r>
        <w:rPr/>
        <w:t>сокращение потерь воды при ее транспортировке;</w:t>
      </w:r>
    </w:p>
    <w:p>
      <w:pPr>
        <w:pStyle w:val="Style31"/>
        <w:numPr>
          <w:ilvl w:val="0"/>
          <w:numId w:val="2"/>
        </w:numPr>
        <w:rPr/>
      </w:pPr>
      <w:r>
        <w:rPr/>
        <w:t>выполнение мероприятий, направленных на обеспечение соответствия качества питьевой воды, горячей воды требованиям законодательства Российской Федерации;</w:t>
      </w:r>
    </w:p>
    <w:p>
      <w:pPr>
        <w:pStyle w:val="Style31"/>
        <w:numPr>
          <w:ilvl w:val="0"/>
          <w:numId w:val="2"/>
        </w:numPr>
        <w:rPr/>
      </w:pPr>
      <w:r>
        <w:rPr/>
        <w:t>обеспечение предотвращения замерзания воды в зонах распространения вечномерзлых грунтов путем ее регулируемого сброса, автоматизированного сосредоточенного подогрева воды в сочетании с циркуляцией или линейным обогревом трубопроводов, теплоизоляции поверхности труб высокоэффективными долговечными материалами с закрытой пористостью, использования арматуры, работоспособной при частичном оледенении трубопровода, автоматических выпусков воды.</w:t>
      </w:r>
    </w:p>
    <w:p>
      <w:pPr>
        <w:pStyle w:val="Normal"/>
        <w:rPr/>
      </w:pPr>
      <w:r>
        <w:rPr/>
        <w:t xml:space="preserve">Для выполнения перечисленных выше задач по развитию централизованных систем водоснабжения Беловского ГО разработаны мероприятия по строительству, реконструкции и модернизации объектов централизованных систем водоснабжения, приведенные ниже в </w:t>
      </w:r>
      <w:hyperlink w:anchor="_Предложения_по_строительству,">
        <w:r>
          <w:rPr>
            <w:rStyle w:val="-"/>
          </w:rPr>
          <w:t>разделе 1.4</w:t>
        </w:r>
      </w:hyperlink>
      <w:r>
        <w:rPr/>
        <w:t xml:space="preserve">. </w:t>
      </w:r>
    </w:p>
    <w:p>
      <w:pPr>
        <w:pStyle w:val="Normal"/>
        <w:rPr/>
      </w:pPr>
      <w:r>
        <w:rPr/>
        <w:t>В соответствии с пунктом 2 [</w:t>
      </w:r>
      <w:r>
        <w:rPr/>
        <w:fldChar w:fldCharType="begin"/>
      </w:r>
      <w:r>
        <w:rPr/>
        <w:instrText xml:space="preserve"> REF _Ref156560288 \n \h </w:instrText>
      </w:r>
      <w:r>
        <w:rPr/>
        <w:fldChar w:fldCharType="separate"/>
      </w:r>
      <w:r>
        <w:rPr/>
        <w:t>20</w:t>
      </w:r>
      <w:r>
        <w:rPr/>
        <w:fldChar w:fldCharType="end"/>
      </w:r>
      <w:r>
        <w:rPr/>
        <w:t>] к показателям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относятся:</w:t>
      </w:r>
    </w:p>
    <w:p>
      <w:pPr>
        <w:pStyle w:val="Style31"/>
        <w:numPr>
          <w:ilvl w:val="0"/>
          <w:numId w:val="102"/>
        </w:numPr>
        <w:rPr/>
      </w:pPr>
      <w:r>
        <w:rPr/>
        <w:t>показатели качества воды (в отношении питьевой воды и горячей воды);</w:t>
      </w:r>
    </w:p>
    <w:p>
      <w:pPr>
        <w:pStyle w:val="Style31"/>
        <w:numPr>
          <w:ilvl w:val="0"/>
          <w:numId w:val="2"/>
        </w:numPr>
        <w:rPr/>
      </w:pPr>
      <w:r>
        <w:rPr/>
        <w:t>показатели надежности и бесперебойности водоснабжения и водоотведения;</w:t>
      </w:r>
    </w:p>
    <w:p>
      <w:pPr>
        <w:pStyle w:val="Style31"/>
        <w:numPr>
          <w:ilvl w:val="0"/>
          <w:numId w:val="2"/>
        </w:numPr>
        <w:rPr/>
      </w:pPr>
      <w:r>
        <w:rPr/>
        <w:t>показатели очистки сточных вод;</w:t>
      </w:r>
    </w:p>
    <w:p>
      <w:pPr>
        <w:pStyle w:val="Style31"/>
        <w:numPr>
          <w:ilvl w:val="0"/>
          <w:numId w:val="2"/>
        </w:numPr>
        <w:rPr/>
      </w:pPr>
      <w:r>
        <w:rPr/>
        <w:t>показатели эффективности использования ресурсов, в том числе уровень потерь воды (тепловой энергии в составе горячей воды).</w:t>
      </w:r>
    </w:p>
    <w:p>
      <w:pPr>
        <w:pStyle w:val="Normal"/>
        <w:rPr/>
      </w:pPr>
      <w:r>
        <w:rPr/>
        <w:t xml:space="preserve">Применительно к централизованным системам водоснабжения Беловского ГО данные показатели приведены ниже в </w:t>
      </w:r>
      <w:hyperlink w:anchor="_Плановые_значения_показателей">
        <w:r>
          <w:rPr>
            <w:rStyle w:val="-"/>
          </w:rPr>
          <w:t>разделе 1.7</w:t>
        </w:r>
      </w:hyperlink>
      <w:r>
        <w:rPr/>
        <w:t xml:space="preserve">. </w:t>
      </w:r>
    </w:p>
    <w:p>
      <w:pPr>
        <w:pStyle w:val="3"/>
        <w:rPr/>
      </w:pPr>
      <w:bookmarkStart w:id="57" w:name="_Toc158814567"/>
      <w:bookmarkStart w:id="58" w:name="_Различные_сценарии_развития"/>
      <w:bookmarkEnd w:id="58"/>
      <w:r>
        <w:rPr/>
        <w:t>Различные сценарии развития централизованных систем водоснабжения в зависимости от различных сценариев развития поселений, городских округов</w:t>
      </w:r>
      <w:bookmarkEnd w:id="57"/>
    </w:p>
    <w:p>
      <w:pPr>
        <w:pStyle w:val="Normal"/>
        <w:rPr/>
      </w:pPr>
      <w:r>
        <w:rPr/>
        <w:t xml:space="preserve">Все рассмотренные в рамках настоящей работы сценарии развития централизованных систем водоснабжения и водоотведения сформированы на принципах государственной политики в сфере водоснабжения и водоотведения, представленных выше в </w:t>
      </w:r>
      <w:hyperlink w:anchor="_Основные_направления,_принципы,">
        <w:r>
          <w:rPr>
            <w:rStyle w:val="-"/>
          </w:rPr>
          <w:t>подразделе 1.2.1</w:t>
        </w:r>
      </w:hyperlink>
      <w:r>
        <w:rPr/>
        <w:t xml:space="preserve">. </w:t>
      </w:r>
    </w:p>
    <w:p>
      <w:pPr>
        <w:pStyle w:val="Normal"/>
        <w:rPr/>
      </w:pPr>
      <w:r>
        <w:rPr/>
        <w:t xml:space="preserve">В настоящей работе предусмотрено 2 сценария развития ЦС ХВС Беловского ГО, в том числе: </w:t>
      </w:r>
    </w:p>
    <w:p>
      <w:pPr>
        <w:pStyle w:val="Style31"/>
        <w:numPr>
          <w:ilvl w:val="0"/>
          <w:numId w:val="103"/>
        </w:numPr>
        <w:rPr/>
      </w:pPr>
      <w:r>
        <w:rPr/>
        <w:t>сценарий № 1 (приоритетный), предусматривающий развитие ЦС ХВС посредством увеличения количества абонентов за счет подключения объектов нового строительства к водопроводным сетям, включающий мероприятия по строительству новых объектов ЦС ХВС, а также мероприятия по реконструкции и модернизации существующих объектов ЦС ХВС;</w:t>
      </w:r>
    </w:p>
    <w:p>
      <w:pPr>
        <w:pStyle w:val="Style31"/>
        <w:numPr>
          <w:ilvl w:val="0"/>
          <w:numId w:val="2"/>
        </w:numPr>
        <w:rPr/>
      </w:pPr>
      <w:r>
        <w:rPr/>
        <w:t xml:space="preserve">сценарий № 2 (консервативный), предусматривающий поддержание (улучшение) текущего состояния ЦС ХВС Беловского ГО без увеличения количества абонентов на рассматриваемом перспективном периоде, включающий частичную реконструкцию и модернизацию объектов ЦС ХВС. </w:t>
      </w:r>
    </w:p>
    <w:p>
      <w:pPr>
        <w:pStyle w:val="Normal"/>
        <w:rPr/>
      </w:pPr>
      <w:r>
        <w:rPr/>
        <w:t xml:space="preserve">С целью исключения дублирования значительного количества идентичных мероприятий в разделе 1.4 и разделе 1.6 в основной части настоящей работы подробно рассмотрен только один (приоритетный) сценарий развития ЦС ХВС Беловского ГО. Подробный (полный) перечень мероприятий по сценарию № 2 приведен в составе </w:t>
      </w:r>
      <w:hyperlink w:anchor="ПриложениеП2">
        <w:r>
          <w:rPr>
            <w:rStyle w:val="-"/>
          </w:rPr>
          <w:t>Приложения П-2</w:t>
        </w:r>
      </w:hyperlink>
      <w:r>
        <w:rPr/>
        <w:t>.</w:t>
      </w:r>
    </w:p>
    <w:p>
      <w:pPr>
        <w:pStyle w:val="Normal"/>
        <w:rPr/>
      </w:pPr>
      <w:r>
        <w:rPr/>
        <w:t>В соответствии с подпунктом 1 пункта 2 статьи 3 [</w:t>
      </w:r>
      <w:r>
        <w:rPr/>
        <w:fldChar w:fldCharType="begin"/>
      </w:r>
      <w:r>
        <w:rPr/>
        <w:instrText xml:space="preserve"> REF _Ref154925037 \n \h </w:instrText>
      </w:r>
      <w:r>
        <w:rPr/>
        <w:fldChar w:fldCharType="separate"/>
      </w:r>
      <w:r>
        <w:rPr/>
        <w:t>2</w:t>
      </w:r>
      <w:r>
        <w:rPr/>
        <w:fldChar w:fldCharType="end"/>
      </w:r>
      <w:r>
        <w:rPr/>
        <w:t xml:space="preserve">], одним из общих принципов государственной политики в сфере водоснабжения и водоотведения является приоритетность обеспечения населения питьевой водой, горячей водой и услугами по водоотведению, следовательно, в рамках настоящей работы в качестве основного сценария выбран сценарий № 1. </w:t>
      </w:r>
    </w:p>
    <w:p>
      <w:pPr>
        <w:pStyle w:val="Normal"/>
        <w:rPr/>
      </w:pPr>
      <w:r>
        <w:rPr/>
        <w:t>С целью определения фактической и перспективной численности постоянного населения Беловского ГО проанализированы и использованы следующие материалы:</w:t>
      </w:r>
    </w:p>
    <w:p>
      <w:pPr>
        <w:pStyle w:val="Style31"/>
        <w:numPr>
          <w:ilvl w:val="0"/>
          <w:numId w:val="104"/>
        </w:numPr>
        <w:rPr/>
      </w:pPr>
      <w:r>
        <w:rPr/>
        <w:t>данные о численности постоянного населения Российской Федерации по муниципальным образованиям за период 2020–2023 годы, опубликованные Федеральной службой государственной статистики;</w:t>
      </w:r>
    </w:p>
    <w:p>
      <w:pPr>
        <w:pStyle w:val="Style31"/>
        <w:numPr>
          <w:ilvl w:val="0"/>
          <w:numId w:val="2"/>
        </w:numPr>
        <w:rPr/>
      </w:pPr>
      <w:r>
        <w:rPr/>
        <w:t>прогноз численности и состава населения (демографический прогноз) на 2024–2026 годы, полученный от Администрации Беловского ГО;</w:t>
      </w:r>
    </w:p>
    <w:p>
      <w:pPr>
        <w:pStyle w:val="Style31"/>
        <w:numPr>
          <w:ilvl w:val="0"/>
          <w:numId w:val="2"/>
        </w:numPr>
        <w:rPr/>
      </w:pPr>
      <w:r>
        <w:rPr/>
        <w:t>генеральный план Беловского городского округа Кемеровской области [</w:t>
      </w:r>
      <w:r>
        <w:rPr/>
        <w:fldChar w:fldCharType="begin"/>
      </w:r>
      <w:r>
        <w:rPr/>
        <w:instrText xml:space="preserve"> REF _Ref154926740 \n \h </w:instrText>
      </w:r>
      <w:r>
        <w:rPr/>
        <w:fldChar w:fldCharType="separate"/>
      </w:r>
      <w:r>
        <w:rPr/>
        <w:t>4</w:t>
      </w:r>
      <w:r>
        <w:rPr/>
        <w:fldChar w:fldCharType="end"/>
      </w:r>
      <w:r>
        <w:rPr/>
        <w:t xml:space="preserve">]. </w:t>
      </w:r>
    </w:p>
    <w:p>
      <w:pPr>
        <w:pStyle w:val="Normal"/>
        <w:rPr/>
      </w:pPr>
      <w:r>
        <w:rPr/>
        <w:t xml:space="preserve">Показатели фактической численности постоянного населения за период 2020–2023 годов и результаты определения прогнозной численности постоянного населения на период 2024–2036 годов по Беловскому ГО приведены в таблице </w:t>
      </w:r>
      <w:r>
        <w:rPr/>
        <w:fldChar w:fldCharType="begin"/>
      </w:r>
      <w:r>
        <w:rPr/>
        <w:instrText xml:space="preserve"> REF _Ref156867723 \h </w:instrText>
      </w:r>
      <w:r>
        <w:rPr/>
        <w:fldChar w:fldCharType="separate"/>
      </w:r>
      <w:r>
        <w:rPr/>
        <w:t>Таблица 1.2.14</w:t>
      </w:r>
      <w:r>
        <w:rPr/>
        <w:fldChar w:fldCharType="end"/>
      </w:r>
      <w:r>
        <w:rPr/>
        <w:t xml:space="preserve">. </w:t>
      </w:r>
    </w:p>
    <w:p>
      <w:pPr>
        <w:pStyle w:val="Style34"/>
        <w:rPr/>
      </w:pPr>
      <w:bookmarkStart w:id="59" w:name="_Ref156867723"/>
      <w:bookmarkStart w:id="60" w:name="_Ref156867806"/>
      <w:r>
        <w:rPr/>
        <w:t xml:space="preserve">Таблица </w:t>
      </w:r>
      <w:r>
        <w:fldChar w:fldCharType="begin"/>
      </w:r>
      <w:r>
        <w:rPr/>
        <w:instrText xml:space="preserve">STYLEREF 2 \s</w:instrText>
      </w:r>
      <w:r>
        <w:rPr/>
      </w:r>
      <w:r>
        <w:rPr/>
        <w:fldChar w:fldCharType="separate"/>
      </w:r>
      <w:r>
        <w:rPr/>
        <w:t>1.2</w:t>
      </w:r>
      <w:r>
        <w:rPr/>
      </w:r>
      <w:r>
        <w:rPr/>
        <w:fldChar w:fldCharType="end"/>
      </w:r>
      <w:r>
        <w:rPr/>
        <w:t>.</w:t>
      </w:r>
      <w:r>
        <w:rPr/>
        <w:fldChar w:fldCharType="begin"/>
      </w:r>
      <w:r>
        <w:rPr/>
        <w:instrText xml:space="preserve"> SEQ Таблица \* ARABIC </w:instrText>
      </w:r>
      <w:r>
        <w:rPr/>
        <w:fldChar w:fldCharType="separate"/>
      </w:r>
      <w:r>
        <w:rPr/>
        <w:t>14</w:t>
      </w:r>
      <w:r>
        <w:rPr/>
        <w:fldChar w:fldCharType="end"/>
      </w:r>
      <w:bookmarkEnd w:id="59"/>
      <w:r>
        <w:rPr/>
        <w:t xml:space="preserve"> – Показатели фактической численности постоянного населения за период 2020–2023 годов и результаты определения прогнозной численности постоянного населения на период 2024–2036 годов по Беловскому ГО</w:t>
      </w:r>
      <w:bookmarkEnd w:id="60"/>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22"/>
        <w:gridCol w:w="2169"/>
        <w:gridCol w:w="739"/>
        <w:gridCol w:w="741"/>
        <w:gridCol w:w="741"/>
        <w:gridCol w:w="739"/>
        <w:gridCol w:w="741"/>
        <w:gridCol w:w="740"/>
        <w:gridCol w:w="739"/>
        <w:gridCol w:w="741"/>
        <w:gridCol w:w="741"/>
      </w:tblGrid>
      <w:tr>
        <w:trPr>
          <w:tblHeader w:val="true"/>
          <w:trHeight w:val="20" w:hRule="atLeast"/>
          <w:cantSplit w:val="true"/>
        </w:trPr>
        <w:tc>
          <w:tcPr>
            <w:tcW w:w="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16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6662" w:type="dxa"/>
            <w:gridSpan w:val="9"/>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blHeader w:val="true"/>
          <w:trHeight w:val="20" w:hRule="atLeast"/>
          <w:cantSplit w:val="true"/>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7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r>
      <w:tr>
        <w:trPr>
          <w:trHeight w:val="20" w:hRule="atLeast"/>
          <w:cantSplit w:val="true"/>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1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2020</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2021</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2023</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7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cantSplit w:val="true"/>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21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Численность постоянного населения (на 01.01), чел.</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126 018</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125 053</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124 023</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120 094</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119 163</w:t>
            </w:r>
          </w:p>
        </w:tc>
        <w:tc>
          <w:tcPr>
            <w:tcW w:w="7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118 327</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117 524</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117 097</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116 670</w:t>
            </w:r>
          </w:p>
        </w:tc>
      </w:tr>
      <w:tr>
        <w:trPr>
          <w:trHeight w:val="20" w:hRule="atLeast"/>
          <w:cantSplit w:val="true"/>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1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2031</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2032</w:t>
            </w:r>
          </w:p>
        </w:tc>
        <w:tc>
          <w:tcPr>
            <w:tcW w:w="7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2033</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2034</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2035</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cantSplit w:val="true"/>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21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Численность постоянного населения (на 01.01), чел.</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116 243</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115 816</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115 390</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114 963</w:t>
            </w:r>
          </w:p>
        </w:tc>
        <w:tc>
          <w:tcPr>
            <w:tcW w:w="7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114 536</w:t>
            </w:r>
          </w:p>
        </w:tc>
        <w:tc>
          <w:tcPr>
            <w:tcW w:w="7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114 109</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113 682</w:t>
            </w:r>
          </w:p>
        </w:tc>
        <w:tc>
          <w:tcPr>
            <w:tcW w:w="7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113 255</w:t>
            </w:r>
          </w:p>
        </w:tc>
      </w:tr>
    </w:tbl>
    <w:p>
      <w:pPr>
        <w:pStyle w:val="Normal"/>
        <w:rPr/>
      </w:pPr>
      <w:r>
        <w:rPr/>
        <w:t>Прогнозные балансы водоснабжения и водоотведения Беловского ГО (</w:t>
      </w:r>
      <w:hyperlink w:anchor="_Прогнозные_балансы_потребления">
        <w:r>
          <w:rPr>
            <w:rStyle w:val="-"/>
          </w:rPr>
          <w:t>подраздел 1.3.7</w:t>
        </w:r>
      </w:hyperlink>
      <w:r>
        <w:rPr/>
        <w:t xml:space="preserve"> и </w:t>
      </w:r>
      <w:hyperlink w:anchor="_Сведения_о_фактическом">
        <w:r>
          <w:rPr>
            <w:rStyle w:val="-"/>
          </w:rPr>
          <w:t>подраздел 2.3.1</w:t>
        </w:r>
      </w:hyperlink>
      <w:r>
        <w:rPr/>
        <w:t xml:space="preserve"> соответственно) определены на основании приведенной в таблице </w:t>
      </w:r>
      <w:r>
        <w:rPr/>
        <w:fldChar w:fldCharType="begin"/>
      </w:r>
      <w:r>
        <w:rPr/>
        <w:instrText xml:space="preserve"> REF _Ref156867806 \p \h </w:instrText>
      </w:r>
      <w:r>
        <w:rPr/>
        <w:fldChar w:fldCharType="separate"/>
      </w:r>
      <w:r>
        <w:rPr/>
        <w:t>выше</w:t>
      </w:r>
      <w:r>
        <w:rPr/>
        <w:fldChar w:fldCharType="end"/>
      </w:r>
      <w:r>
        <w:rPr/>
        <w:t xml:space="preserve"> прогнозной численности населения.</w:t>
      </w:r>
    </w:p>
    <w:p>
      <w:pPr>
        <w:pStyle w:val="Normal"/>
        <w:rPr/>
      </w:pPr>
      <w:r>
        <w:rPr/>
      </w:r>
    </w:p>
    <w:p>
      <w:pPr>
        <w:pStyle w:val="Normal"/>
        <w:rPr/>
      </w:pPr>
      <w:r>
        <w:rPr/>
      </w:r>
    </w:p>
    <w:p>
      <w:pPr>
        <w:pStyle w:val="2"/>
        <w:rPr/>
      </w:pPr>
      <w:bookmarkStart w:id="61" w:name="_Toc158814568"/>
      <w:r>
        <w:rPr/>
        <w:t>Баланс водоснабжения и потребления горячей, питьевой, технической воды</w:t>
      </w:r>
      <w:bookmarkEnd w:id="61"/>
    </w:p>
    <w:p>
      <w:pPr>
        <w:pStyle w:val="3"/>
        <w:rPr/>
      </w:pPr>
      <w:bookmarkStart w:id="62" w:name="_Общий_баланс_подачи"/>
      <w:bookmarkStart w:id="63" w:name="_Toc158814569"/>
      <w:bookmarkEnd w:id="62"/>
      <w:r>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63"/>
    </w:p>
    <w:p>
      <w:pPr>
        <w:pStyle w:val="Normal"/>
        <w:rPr/>
      </w:pPr>
      <w:r>
        <w:rPr/>
        <w:t xml:space="preserve">Общий баланс подачи и реализации питьевой воды на территории Беловского ГО приведен в таблице </w:t>
      </w:r>
      <w:r>
        <w:rPr/>
        <w:fldChar w:fldCharType="begin"/>
      </w:r>
      <w:r>
        <w:rPr/>
        <w:instrText xml:space="preserve"> REF _Ref156877883 \h </w:instrText>
      </w:r>
      <w:r>
        <w:rPr/>
        <w:fldChar w:fldCharType="separate"/>
      </w:r>
      <w:r>
        <w:rPr/>
        <w:t>Таблица 1.3.15</w:t>
      </w:r>
      <w:r>
        <w:rPr/>
        <w:fldChar w:fldCharType="end"/>
      </w:r>
      <w:r>
        <w:rPr/>
        <w:t xml:space="preserve">. </w:t>
      </w:r>
    </w:p>
    <w:p>
      <w:pPr>
        <w:pStyle w:val="Style34"/>
        <w:rPr/>
      </w:pPr>
      <w:bookmarkStart w:id="64" w:name="_Ref156877883"/>
      <w:r>
        <w:rPr/>
        <w:t xml:space="preserve">Таблица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Таблица \* ARABIC </w:instrText>
      </w:r>
      <w:r>
        <w:rPr/>
        <w:fldChar w:fldCharType="separate"/>
      </w:r>
      <w:r>
        <w:rPr/>
        <w:t>15</w:t>
      </w:r>
      <w:r>
        <w:rPr/>
        <w:fldChar w:fldCharType="end"/>
      </w:r>
      <w:bookmarkEnd w:id="64"/>
      <w:r>
        <w:rPr/>
        <w:t xml:space="preserve"> – Общий баланс подачи и реализации питьевой воды на территории Беловского ГО</w:t>
      </w:r>
    </w:p>
    <w:tbl>
      <w:tblPr>
        <w:tblW w:w="9345"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605"/>
        <w:gridCol w:w="4488"/>
        <w:gridCol w:w="851"/>
        <w:gridCol w:w="849"/>
        <w:gridCol w:w="851"/>
        <w:gridCol w:w="849"/>
        <w:gridCol w:w="851"/>
      </w:tblGrid>
      <w:tr>
        <w:trPr>
          <w:tblHeader w:val="true"/>
          <w:trHeight w:val="20" w:hRule="atLeast"/>
        </w:trPr>
        <w:tc>
          <w:tcPr>
            <w:tcW w:w="60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4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8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изм.</w:t>
            </w:r>
          </w:p>
        </w:tc>
        <w:tc>
          <w:tcPr>
            <w:tcW w:w="3400" w:type="dxa"/>
            <w:gridSpan w:val="4"/>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blHeader w:val="true"/>
          <w:trHeight w:val="20" w:hRule="atLeast"/>
        </w:trPr>
        <w:tc>
          <w:tcPr>
            <w:tcW w:w="6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4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vertAlign w:val="superscript"/>
                <w:lang w:eastAsia="ru-RU"/>
              </w:rPr>
            </w:pPr>
            <w:r>
              <w:rPr>
                <w:rFonts w:eastAsia="Times New Roman" w:cs="Times New Roman"/>
                <w:color w:val="000000"/>
                <w:sz w:val="20"/>
                <w:szCs w:val="20"/>
                <w:lang w:eastAsia="ru-RU"/>
              </w:rPr>
              <w:t>2023</w:t>
            </w:r>
            <w:r>
              <w:rPr>
                <w:rFonts w:eastAsia="Times New Roman" w:cs="Times New Roman"/>
                <w:color w:val="000000"/>
                <w:sz w:val="20"/>
                <w:szCs w:val="20"/>
                <w:vertAlign w:val="superscript"/>
                <w:lang w:eastAsia="ru-RU"/>
              </w:rPr>
              <w:t>1</w:t>
            </w:r>
          </w:p>
        </w:tc>
      </w:tr>
      <w:tr>
        <w:trPr>
          <w:tblHeader w:val="true"/>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«Водоснабжение»</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7 369,8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7 305,6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6 871,6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6 690,1</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нужды предприятия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377,5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431,3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6 999,8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6 928,1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6 440,3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6 316,4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5 533,9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5 477,4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5 150,3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5 057,5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5 533,9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5 477,4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5 150,3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5 057,5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3 493,6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3 323,1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3 368,2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3 493,0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298,0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314,6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292,2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1 742,4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1 839,6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1 272,4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1 465,9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1 450,7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1 290,0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1 258,8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20,9%</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/г.</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6 999,8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6 928,1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6 440,3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6 316,4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19 164,5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18 968,1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17 632,6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17 293,3</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22 997,4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22 761,8</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21 159,1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20 751,9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22 997,4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22 761,8</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21 159,1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20 751,9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10 015,3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10 250,9</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11 853,6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12 260,8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МУП «Водоканал»</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Получено воды со стороны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1 766,5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1 732,3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 и на нужды предприятия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1 785,4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1 732,3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1 371,3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1 410,4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1 173,9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812,8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1 371,3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1 410,4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1 173,9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812,8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474,3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462,9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449,7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875,1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924,1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687,2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414,1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321,9</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/г.</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1 785,4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1 732,3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4 888,0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4 742,8</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4 286,7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2 352,3</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5 865,7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5 691,4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5 144,0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2 822,8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5 865,7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5 691,4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5 144,0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2 822,8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2.13.1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«ЭК»</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1 141,9</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1 094,3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1 170,1</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нужды предприятия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1 139,3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1 091,7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1 139,3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1 091,7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981,1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1 006,8</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966,7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1 005,6</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648,4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680,7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651,5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683,9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459,5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452,6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445,9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448,1</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182,2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131,2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125,0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154,3</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13,3%</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/г.</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1 139,3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1 091,7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3 045,3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3 119,2</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2 988,9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3 175,7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3.10</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3 654,3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3 743,0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3 586,6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3 810,8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3 654,3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3 743,0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3 586,6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3 810,8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4 260,7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4 172,0</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4 328,4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4 104,2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Итого в ЦС ХВС (питьевого) Беловского ГО</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8 482,7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8 447,5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7 965,8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7 860,2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Получено воды со стороны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1 766,5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1 732,3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1 565,7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 и на нужды предприятия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370,5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380,1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433,8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1 139,3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1 091,7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9 897,5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9 799,7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9 097,7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8 335,5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7 886,3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7 894,6</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7 290,9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6 876,0</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7 553,6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7 568,5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6 975,8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6 554,2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4 427,4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4 235,7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4 277,1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4 390,8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342,6</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369,4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343,5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2 783,7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2 963,4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2 327,2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1 819,9</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332,7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326,1</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321,8</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2 011,2</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1 905,2</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1 806,8</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1 459,5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19,4%</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/г.</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9 897,5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9 799,7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9 097,7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8 335,5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27 097,9</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26 830,2</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24 908,1</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22 821,3</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4.10</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32 517,4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32 196,2</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29 889,7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27 385,5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4.12</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32 517,4</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32 196,2</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29 889,7</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27 385,5</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4.13</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8 410,3</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8 731,5</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11 038,0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13 542,2</w:t>
            </w:r>
          </w:p>
        </w:tc>
      </w:tr>
      <w:tr>
        <w:trPr>
          <w:trHeight w:val="20" w:hRule="atLeast"/>
        </w:trPr>
        <w:tc>
          <w:tcPr>
            <w:tcW w:w="6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4.13.1</w:t>
            </w:r>
          </w:p>
        </w:tc>
        <w:tc>
          <w:tcPr>
            <w:tcW w:w="44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20,5%</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21,3%</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27,0%</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33,1%</w:t>
            </w:r>
          </w:p>
        </w:tc>
      </w:tr>
    </w:tbl>
    <w:p>
      <w:pPr>
        <w:pStyle w:val="Style35"/>
        <w:rPr/>
      </w:pPr>
      <w:r>
        <w:rPr/>
        <w:t>Примечание (1) – сведения о фактических балансах водоснабжения за 2023 год были предоставлены только МУП «Водоканал», по ООО «Водоснабжение» приведены переведенные в годовые значения показатели за 9 месяцев 2023 года, по ООО «ЭК» представлены значения, утвержденные регулирующим органом (с учетом корректировки)</w:t>
      </w:r>
    </w:p>
    <w:p>
      <w:pPr>
        <w:pStyle w:val="Normal"/>
        <w:rPr/>
      </w:pPr>
      <w:r>
        <w:rPr/>
        <w:t xml:space="preserve">Структурный баланс подъема питьевой воды в разрезе технологических и эксплуатационных зон на территории Беловского ГО за 2022 год приведен на рисунке </w:t>
      </w:r>
      <w:r>
        <w:rPr/>
        <w:fldChar w:fldCharType="begin"/>
      </w:r>
      <w:r>
        <w:rPr/>
        <w:instrText xml:space="preserve"> REF _Ref156879185 \h </w:instrText>
      </w:r>
      <w:r>
        <w:rPr/>
        <w:fldChar w:fldCharType="separate"/>
      </w:r>
      <w:r>
        <w:rPr/>
        <w:t>Рисунок 1.3.9</w:t>
      </w:r>
      <w:r>
        <w:rPr/>
        <w:fldChar w:fldCharType="end"/>
      </w:r>
      <w:r>
        <w:rPr/>
        <w:t xml:space="preserve">. </w:t>
      </w:r>
    </w:p>
    <w:p>
      <w:pPr>
        <w:pStyle w:val="Style26"/>
        <w:rPr/>
      </w:pPr>
      <w:r>
        <w:rPr/>
        <w:drawing>
          <wp:inline distT="0" distB="0" distL="0" distR="0">
            <wp:extent cx="5939790" cy="4184015"/>
            <wp:effectExtent l="0" t="0" r="0" b="0"/>
            <wp:docPr id="1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5" descr=""/>
                    <pic:cNvPicPr>
                      <a:picLocks noChangeAspect="1" noChangeArrowheads="1"/>
                    </pic:cNvPicPr>
                  </pic:nvPicPr>
                  <pic:blipFill>
                    <a:blip r:embed="rId24"/>
                    <a:srcRect l="6041" t="0" r="5139" b="0"/>
                    <a:stretch>
                      <a:fillRect/>
                    </a:stretch>
                  </pic:blipFill>
                  <pic:spPr bwMode="auto">
                    <a:xfrm>
                      <a:off x="0" y="0"/>
                      <a:ext cx="5939790" cy="4184015"/>
                    </a:xfrm>
                    <a:prstGeom prst="rect">
                      <a:avLst/>
                    </a:prstGeom>
                    <a:ln w="9525">
                      <a:solidFill>
                        <a:srgbClr val="000000"/>
                      </a:solidFill>
                    </a:ln>
                  </pic:spPr>
                </pic:pic>
              </a:graphicData>
            </a:graphic>
          </wp:inline>
        </w:drawing>
      </w:r>
    </w:p>
    <w:p>
      <w:pPr>
        <w:pStyle w:val="Caption"/>
        <w:rPr/>
      </w:pPr>
      <w:bookmarkStart w:id="65" w:name="_Ref156879185"/>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9</w:t>
      </w:r>
      <w:r>
        <w:rPr/>
        <w:fldChar w:fldCharType="end"/>
      </w:r>
      <w:bookmarkEnd w:id="65"/>
      <w:r>
        <w:rPr/>
        <w:t xml:space="preserve"> – Структурный баланс подъема питьевой воды в разрезе технологических и эксплуатационных зон на территории Беловского ГО за 2022 год</w:t>
      </w:r>
    </w:p>
    <w:p>
      <w:pPr>
        <w:pStyle w:val="Normal"/>
        <w:rPr/>
      </w:pPr>
      <w:r>
        <w:rPr/>
        <w:t xml:space="preserve">Здесь и далее в подразделах 1.3.2–1.3.14: </w:t>
      </w:r>
    </w:p>
    <w:p>
      <w:pPr>
        <w:pStyle w:val="Style31"/>
        <w:numPr>
          <w:ilvl w:val="0"/>
          <w:numId w:val="105"/>
        </w:numPr>
        <w:rPr/>
      </w:pPr>
      <w:r>
        <w:rPr/>
        <w:t>балансы горячей воды приведены в составе Главы 6 схемы теплоснабжения Беловского ГО [</w:t>
      </w:r>
      <w:r>
        <w:rPr/>
        <w:fldChar w:fldCharType="begin"/>
      </w:r>
      <w:r>
        <w:rPr/>
        <w:instrText xml:space="preserve"> REF _Ref156931289 \n \h </w:instrText>
      </w:r>
      <w:r>
        <w:rPr/>
        <w:fldChar w:fldCharType="separate"/>
      </w:r>
      <w:r>
        <w:rPr/>
        <w:t>23</w:t>
      </w:r>
      <w:r>
        <w:rPr/>
        <w:fldChar w:fldCharType="end"/>
      </w:r>
      <w:r>
        <w:rPr/>
        <w:t xml:space="preserve">]. </w:t>
      </w:r>
    </w:p>
    <w:p>
      <w:pPr>
        <w:pStyle w:val="Style31"/>
        <w:numPr>
          <w:ilvl w:val="0"/>
          <w:numId w:val="2"/>
        </w:numPr>
        <w:rPr/>
      </w:pPr>
      <w:r>
        <w:rPr/>
        <w:t xml:space="preserve">ЦС ХВС (технического) на территории Беловского ГО не выявлены (не рассматриваются в рамках настоящей работы). </w:t>
      </w:r>
    </w:p>
    <w:p>
      <w:pPr>
        <w:pStyle w:val="3"/>
        <w:rPr/>
      </w:pPr>
      <w:bookmarkStart w:id="66" w:name="_Toc158814570"/>
      <w:r>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66"/>
    </w:p>
    <w:p>
      <w:pPr>
        <w:pStyle w:val="Normal"/>
        <w:rPr/>
      </w:pPr>
      <w:r>
        <w:rPr/>
        <w:t xml:space="preserve">Территориальный баланс подачи питьевой воды по технологическим зонам водоснабжения (годовой и в сутки максимального водопотребления) Беловского ГО представлен выше в </w:t>
      </w:r>
      <w:hyperlink w:anchor="_Общий_баланс_подачи">
        <w:r>
          <w:rPr>
            <w:rStyle w:val="-"/>
          </w:rPr>
          <w:t>подразделе 1.3.1</w:t>
        </w:r>
      </w:hyperlink>
      <w:r>
        <w:rPr/>
        <w:t xml:space="preserve"> и на рисунке </w:t>
      </w:r>
      <w:r>
        <w:rPr/>
        <w:fldChar w:fldCharType="begin"/>
      </w:r>
      <w:r>
        <w:rPr/>
        <w:instrText xml:space="preserve"> REF _Ref156880125 \h </w:instrText>
      </w:r>
      <w:r>
        <w:rPr/>
        <w:fldChar w:fldCharType="separate"/>
      </w:r>
      <w:r>
        <w:rPr/>
        <w:t>Рисунок 1.3.10</w:t>
      </w:r>
      <w:r>
        <w:rPr/>
        <w:fldChar w:fldCharType="end"/>
      </w:r>
      <w:r>
        <w:rPr/>
        <w:t xml:space="preserve">. </w:t>
      </w:r>
    </w:p>
    <w:p>
      <w:pPr>
        <w:pStyle w:val="Style26"/>
        <w:rPr/>
      </w:pPr>
      <w:r>
        <w:rPr/>
        <w:drawing>
          <wp:inline distT="0" distB="0" distL="0" distR="0">
            <wp:extent cx="5939790" cy="3822700"/>
            <wp:effectExtent l="0" t="0" r="0" b="0"/>
            <wp:docPr id="12"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1" descr=""/>
                    <pic:cNvPicPr>
                      <a:picLocks noChangeAspect="1" noChangeArrowheads="1"/>
                    </pic:cNvPicPr>
                  </pic:nvPicPr>
                  <pic:blipFill>
                    <a:blip r:embed="rId25"/>
                    <a:stretch>
                      <a:fillRect/>
                    </a:stretch>
                  </pic:blipFill>
                  <pic:spPr bwMode="auto">
                    <a:xfrm>
                      <a:off x="0" y="0"/>
                      <a:ext cx="5939790" cy="3822700"/>
                    </a:xfrm>
                    <a:prstGeom prst="rect">
                      <a:avLst/>
                    </a:prstGeom>
                  </pic:spPr>
                </pic:pic>
              </a:graphicData>
            </a:graphic>
          </wp:inline>
        </w:drawing>
      </w:r>
    </w:p>
    <w:p>
      <w:pPr>
        <w:pStyle w:val="Caption"/>
        <w:rPr/>
      </w:pPr>
      <w:bookmarkStart w:id="67" w:name="_Ref156880125"/>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10</w:t>
      </w:r>
      <w:r>
        <w:rPr/>
        <w:fldChar w:fldCharType="end"/>
      </w:r>
      <w:bookmarkEnd w:id="67"/>
      <w:r>
        <w:rPr/>
        <w:t xml:space="preserve"> – Территориальный баланс подачи питьевой воды по технологическим зонам водоснабжения (в сутки максимального водопотребления) Беловского ГО за 2022 год</w:t>
      </w:r>
    </w:p>
    <w:p>
      <w:pPr>
        <w:pStyle w:val="3"/>
        <w:rPr/>
      </w:pPr>
      <w:bookmarkStart w:id="68" w:name="_Toc158814571"/>
      <w:r>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68"/>
    </w:p>
    <w:p>
      <w:pPr>
        <w:pStyle w:val="Normal"/>
        <w:rPr/>
      </w:pPr>
      <w:r>
        <w:rPr/>
        <w:t xml:space="preserve">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Беловского ГО приведен выше в </w:t>
      </w:r>
      <w:hyperlink w:anchor="_Общий_баланс_подачи">
        <w:r>
          <w:rPr>
            <w:rStyle w:val="-"/>
          </w:rPr>
          <w:t>подразделе 1.3.1</w:t>
        </w:r>
      </w:hyperlink>
      <w:r>
        <w:rPr/>
        <w:t xml:space="preserve"> и на рисунке </w:t>
      </w:r>
      <w:r>
        <w:rPr/>
        <w:fldChar w:fldCharType="begin"/>
      </w:r>
      <w:r>
        <w:rPr/>
        <w:instrText xml:space="preserve"> REF _Ref156882023 \h </w:instrText>
      </w:r>
      <w:r>
        <w:rPr/>
        <w:fldChar w:fldCharType="separate"/>
      </w:r>
      <w:r>
        <w:rPr/>
        <w:t>Рисунок 1.3.11</w:t>
      </w:r>
      <w:r>
        <w:rPr/>
        <w:fldChar w:fldCharType="end"/>
      </w:r>
      <w:r>
        <w:rPr/>
        <w:t xml:space="preserve">. </w:t>
      </w:r>
    </w:p>
    <w:p>
      <w:pPr>
        <w:pStyle w:val="Style26"/>
        <w:rPr/>
      </w:pPr>
      <w:r>
        <w:rPr/>
        <w:drawing>
          <wp:inline distT="0" distB="0" distL="0" distR="0">
            <wp:extent cx="5939790" cy="3876040"/>
            <wp:effectExtent l="0" t="0" r="0" b="0"/>
            <wp:docPr id="13"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3" descr=""/>
                    <pic:cNvPicPr>
                      <a:picLocks noChangeAspect="1" noChangeArrowheads="1"/>
                    </pic:cNvPicPr>
                  </pic:nvPicPr>
                  <pic:blipFill>
                    <a:blip r:embed="rId26"/>
                    <a:stretch>
                      <a:fillRect/>
                    </a:stretch>
                  </pic:blipFill>
                  <pic:spPr bwMode="auto">
                    <a:xfrm>
                      <a:off x="0" y="0"/>
                      <a:ext cx="5939790" cy="3876040"/>
                    </a:xfrm>
                    <a:prstGeom prst="rect">
                      <a:avLst/>
                    </a:prstGeom>
                  </pic:spPr>
                </pic:pic>
              </a:graphicData>
            </a:graphic>
          </wp:inline>
        </w:drawing>
      </w:r>
    </w:p>
    <w:p>
      <w:pPr>
        <w:pStyle w:val="Caption"/>
        <w:rPr/>
      </w:pPr>
      <w:bookmarkStart w:id="69" w:name="_Ref156882023"/>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11</w:t>
      </w:r>
      <w:r>
        <w:rPr/>
        <w:fldChar w:fldCharType="end"/>
      </w:r>
      <w:bookmarkEnd w:id="69"/>
      <w:r>
        <w:rPr/>
        <w:t xml:space="preserve"> –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Беловского ГО за 2022 год</w:t>
      </w:r>
    </w:p>
    <w:p>
      <w:pPr>
        <w:pStyle w:val="3"/>
        <w:rPr/>
      </w:pPr>
      <w:bookmarkStart w:id="70" w:name="_Toc158814572"/>
      <w:r>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70"/>
    </w:p>
    <w:p>
      <w:pPr>
        <w:pStyle w:val="Normal"/>
        <w:rPr/>
      </w:pPr>
      <w:r>
        <w:rPr/>
        <w:t xml:space="preserve">Сведения о фактическом потреблении населением питьевой воды представлены выше в </w:t>
      </w:r>
      <w:hyperlink w:anchor="_Общий_баланс_подачи">
        <w:r>
          <w:rPr>
            <w:rStyle w:val="-"/>
          </w:rPr>
          <w:t>подразделе 1.3.1</w:t>
        </w:r>
      </w:hyperlink>
      <w:r>
        <w:rPr/>
        <w:t xml:space="preserve">. </w:t>
      </w:r>
    </w:p>
    <w:p>
      <w:pPr>
        <w:pStyle w:val="Normal"/>
        <w:rPr/>
      </w:pPr>
      <w:r>
        <w:rPr/>
        <w:t>Нормативы потребления коммунальных услуг по холодному водоснабжению, горячему водоснабжению и водоотведению на территории Беловского ГО утверждены приказом департамента жилищно-коммунального и дорожного комплекса Кемеровской области [</w:t>
      </w:r>
      <w:r>
        <w:rPr/>
        <w:fldChar w:fldCharType="begin"/>
      </w:r>
      <w:r>
        <w:rPr/>
        <w:instrText xml:space="preserve"> REF _Ref156881100 \n \h </w:instrText>
      </w:r>
      <w:r>
        <w:rPr/>
        <w:fldChar w:fldCharType="separate"/>
      </w:r>
      <w:r>
        <w:rPr/>
        <w:t>22</w:t>
      </w:r>
      <w:r>
        <w:rPr/>
        <w:fldChar w:fldCharType="end"/>
      </w:r>
      <w:r>
        <w:rPr/>
        <w:t xml:space="preserve">] и приведены в таблицах </w:t>
      </w:r>
      <w:r>
        <w:rPr/>
        <w:fldChar w:fldCharType="begin"/>
      </w:r>
      <w:r>
        <w:rPr/>
        <w:instrText xml:space="preserve"> REF _Ref156881546 \h </w:instrText>
      </w:r>
      <w:r>
        <w:rPr/>
        <w:fldChar w:fldCharType="separate"/>
      </w:r>
      <w:r>
        <w:rPr/>
        <w:t>Таблица 1.3.16</w:t>
      </w:r>
      <w:r>
        <w:rPr/>
        <w:fldChar w:fldCharType="end"/>
      </w:r>
      <w:r>
        <w:rPr/>
        <w:t xml:space="preserve">, </w:t>
      </w:r>
      <w:r>
        <w:rPr/>
        <w:fldChar w:fldCharType="begin"/>
      </w:r>
      <w:r>
        <w:rPr/>
        <w:instrText xml:space="preserve"> REF _Ref156881914 \h </w:instrText>
      </w:r>
      <w:r>
        <w:rPr/>
        <w:fldChar w:fldCharType="separate"/>
      </w:r>
      <w:r>
        <w:rPr/>
        <w:t>Таблица 1.3.17</w:t>
      </w:r>
      <w:r>
        <w:rPr/>
        <w:fldChar w:fldCharType="end"/>
      </w:r>
      <w:r>
        <w:rPr/>
        <w:t xml:space="preserve">. </w:t>
      </w:r>
    </w:p>
    <w:p>
      <w:pPr>
        <w:pStyle w:val="Style34"/>
        <w:rPr/>
      </w:pPr>
      <w:bookmarkStart w:id="71" w:name="_Ref156881546"/>
      <w:r>
        <w:rPr/>
        <w:t xml:space="preserve">Таблица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Таблица \* ARABIC </w:instrText>
      </w:r>
      <w:r>
        <w:rPr/>
        <w:fldChar w:fldCharType="separate"/>
      </w:r>
      <w:r>
        <w:rPr/>
        <w:t>16</w:t>
      </w:r>
      <w:r>
        <w:rPr/>
        <w:fldChar w:fldCharType="end"/>
      </w:r>
      <w:bookmarkEnd w:id="71"/>
      <w:r>
        <w:rPr/>
        <w:t xml:space="preserve"> – Нормативы потребления коммунальной услуги по холодному водоснабжению, горячему водоснабжению и водоотведению в жилых помещениях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42"/>
        <w:gridCol w:w="6650"/>
        <w:gridCol w:w="753"/>
        <w:gridCol w:w="754"/>
        <w:gridCol w:w="756"/>
      </w:tblGrid>
      <w:tr>
        <w:trPr>
          <w:tblHeader w:val="true"/>
          <w:trHeight w:val="20" w:hRule="atLeast"/>
        </w:trPr>
        <w:tc>
          <w:tcPr>
            <w:tcW w:w="44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665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Степень благоустройства</w:t>
            </w:r>
          </w:p>
        </w:tc>
        <w:tc>
          <w:tcPr>
            <w:tcW w:w="2263"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Норматив потребления коммунальной услуги,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человека в месяц</w:t>
            </w:r>
          </w:p>
        </w:tc>
      </w:tr>
      <w:tr>
        <w:trPr>
          <w:tblHeader w:val="true"/>
          <w:trHeight w:val="20" w:hRule="atLeast"/>
        </w:trPr>
        <w:tc>
          <w:tcPr>
            <w:tcW w:w="44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66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ХВС</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ГВС</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ВО</w:t>
            </w:r>
          </w:p>
        </w:tc>
      </w:tr>
      <w:tr>
        <w:trPr>
          <w:tblHeader w:val="true"/>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ваннами длиной 1500-1700 мм,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5,01</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3,37</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8,38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ваннами длиной 1500-1700 мм,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8,38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8,38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сидячими ваннами длиной 1200 мм,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4,97</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3,31</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8,28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ваннами длиной 1200 мм,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8,28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8,28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ваннами,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4,70</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4,70</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4,52</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2,76</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душами,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3,36</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1,32</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 кухонными мойками и унитазами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3,06</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3,06</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2,27</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1,32</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3,59</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3,59</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3,59</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горячим водоснабжением, без водоотведения или с выгребной ямой,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1,53</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0,83</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горячим водоснабжением путем подогрева холодной воды водонагревателями всеми видами топлива, без водоотведения или с выгребной ямой,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2,36</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5.6</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 кухонными мойками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1,24</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2,08</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водоотведением (в т.ч.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3,07</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4,76</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4,76</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4,76</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водоотведением (в т.ч. в выгребные ямы через внутридомовые сети*), оборудованные общими раковинами, кухонными мойками и унитазами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2,40</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0,86</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общими раковинами, кухонными мойками и унитазами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водоснабжением, водоотведением (в т.ч. в выгребные ямы через внутридомовые сети*), оборудованные общими раковинами, кухонными мойками и унитазами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1,92</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1,92</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водоотведением (в т.ч. в выгребные ямы через внутридомовые сети*),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водоснабжением, водоотведением (в т.ч. в выгребные ямы через внутридомовые сети*),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1,31</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0,86</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2,17</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водоснабжением, без водоотведения или с выгребной ямой, оборудованные общими раковинами, кухонными мойками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0,56</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10.2</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1,74</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10.3</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в общежитиях коридорного типа с холодным водоснабжением, без водоотведения или с выгребной ямой, оборудованные общими раковинами на этажах</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4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66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Жилые помещения с холодным водоснабжением из уличной колонки или дворового крана</w:t>
            </w:r>
          </w:p>
        </w:tc>
        <w:tc>
          <w:tcPr>
            <w:tcW w:w="7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1,08</w:t>
            </w:r>
          </w:p>
        </w:tc>
        <w:tc>
          <w:tcPr>
            <w:tcW w:w="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7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bl>
    <w:p>
      <w:pPr>
        <w:pStyle w:val="Style35"/>
        <w:rPr/>
      </w:pPr>
      <w:r>
        <w:rPr/>
        <w:t>Примечание (*) – При степени благоустройства «водоотведение в выгребные ямы через внутридомовые сети» норматив потребления коммунальной услуги по водоотведению применяется в случае наличия договора с ресурсоснабжающей организацией на услугу «водоотведение и очистка сточных вод»</w:t>
      </w:r>
    </w:p>
    <w:p>
      <w:pPr>
        <w:pStyle w:val="Style34"/>
        <w:rPr/>
      </w:pPr>
      <w:bookmarkStart w:id="72" w:name="_Ref156881914"/>
      <w:r>
        <w:rPr/>
        <w:t xml:space="preserve">Таблица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Таблица \* ARABIC </w:instrText>
      </w:r>
      <w:r>
        <w:rPr/>
        <w:fldChar w:fldCharType="separate"/>
      </w:r>
      <w:r>
        <w:rPr/>
        <w:t>17</w:t>
      </w:r>
      <w:r>
        <w:rPr/>
        <w:fldChar w:fldCharType="end"/>
      </w:r>
      <w:bookmarkEnd w:id="72"/>
      <w:r>
        <w:rPr/>
        <w:t xml:space="preserve"> – Нормативы потребления коммунальной услуги по холодному водоснабжению при использовании земельного участка и надворных построек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19"/>
        <w:gridCol w:w="4302"/>
        <w:gridCol w:w="2846"/>
        <w:gridCol w:w="1687"/>
      </w:tblGrid>
      <w:tr>
        <w:trPr>
          <w:tblHeader w:val="true"/>
          <w:trHeight w:val="20" w:hRule="atLeast"/>
          <w:cantSplit w:val="true"/>
        </w:trPr>
        <w:tc>
          <w:tcPr>
            <w:tcW w:w="5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30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Направления использования</w:t>
            </w:r>
          </w:p>
        </w:tc>
        <w:tc>
          <w:tcPr>
            <w:tcW w:w="284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Единица измерения</w:t>
            </w:r>
          </w:p>
        </w:tc>
        <w:tc>
          <w:tcPr>
            <w:tcW w:w="16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Норматив потребления</w:t>
            </w:r>
          </w:p>
        </w:tc>
      </w:tr>
      <w:tr>
        <w:trPr>
          <w:tblHeader w:val="true"/>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1</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Мытье в бане</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человека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0,20</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2</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Полив земельного участка при наличии водопровода</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кв.м. земельного участка в месяц поливочного сезона**</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0,15</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3</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Полив земельного участка из уличной колонки</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кв.м. земельного участка в месяц поливочного сезона**</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0,09</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4</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Мытье автомобиля</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автомобиль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0,40</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w:t>
            </w:r>
          </w:p>
        </w:tc>
        <w:tc>
          <w:tcPr>
            <w:tcW w:w="883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Водоснабжение и приготовление пищи для сельскохозяйственных животных:</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5.1</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Корова</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1,82</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5.2</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Лошадь</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2,43</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5.3</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Свинья</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0,76</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5.4</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Овца, коза</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0,30</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5.5</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Куры</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0,01</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5.6</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Гуси</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0,05</w:t>
            </w:r>
          </w:p>
        </w:tc>
      </w:tr>
      <w:tr>
        <w:trPr>
          <w:trHeight w:val="20" w:hRule="atLeast"/>
          <w:cantSplit w:val="true"/>
        </w:trPr>
        <w:tc>
          <w:tcPr>
            <w:tcW w:w="5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5.7</w:t>
            </w:r>
          </w:p>
        </w:tc>
        <w:tc>
          <w:tcPr>
            <w:tcW w:w="43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6"/>
                <w:lang w:eastAsia="ru-RU"/>
              </w:rPr>
              <w:t>Утки</w:t>
            </w:r>
          </w:p>
        </w:tc>
        <w:tc>
          <w:tcPr>
            <w:tcW w:w="284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 xml:space="preserve"> на 1 голову в месяц</w:t>
            </w:r>
          </w:p>
        </w:tc>
        <w:tc>
          <w:tcPr>
            <w:tcW w:w="16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6"/>
                <w:lang w:eastAsia="ru-RU"/>
              </w:rPr>
              <w:t>0,06</w:t>
            </w:r>
          </w:p>
        </w:tc>
      </w:tr>
    </w:tbl>
    <w:p>
      <w:pPr>
        <w:pStyle w:val="Style35"/>
        <w:rPr/>
      </w:pPr>
      <w:r>
        <w:rPr/>
        <w:t>Примечание (**) – Норматив потребления коммунальной услуги на полив земельного участка применяется в течение 60 дней календарного года</w:t>
      </w:r>
    </w:p>
    <w:p>
      <w:pPr>
        <w:pStyle w:val="3"/>
        <w:rPr/>
      </w:pPr>
      <w:bookmarkStart w:id="73" w:name="_Toc158814573"/>
      <w:r>
        <w:rPr/>
        <w:t>Описание существующей системы коммерческого учета горячей, питьевой, технической воды и планов по установке приборов учета</w:t>
      </w:r>
      <w:bookmarkEnd w:id="73"/>
    </w:p>
    <w:p>
      <w:pPr>
        <w:pStyle w:val="Normal"/>
        <w:rPr/>
      </w:pPr>
      <w:r>
        <w:rPr/>
        <w:t>В соответствии с данными, предоставленными администрацией Беловского ГО, по состоянию на 01.10.2023:</w:t>
      </w:r>
    </w:p>
    <w:p>
      <w:pPr>
        <w:pStyle w:val="Style31"/>
        <w:numPr>
          <w:ilvl w:val="0"/>
          <w:numId w:val="106"/>
        </w:numPr>
        <w:rPr/>
      </w:pPr>
      <w:r>
        <w:rPr/>
        <w:t xml:space="preserve">903 МКД обеспечены услугой холодного водоснабжения, из которых: </w:t>
      </w:r>
    </w:p>
    <w:p>
      <w:pPr>
        <w:pStyle w:val="Style31"/>
        <w:numPr>
          <w:ilvl w:val="1"/>
          <w:numId w:val="107"/>
        </w:numPr>
        <w:rPr/>
      </w:pPr>
      <w:r>
        <w:rPr/>
        <w:t>577 МКД фактически оснащены ОДПУ ХВС, в т.ч.:</w:t>
      </w:r>
    </w:p>
    <w:p>
      <w:pPr>
        <w:pStyle w:val="Style31"/>
        <w:numPr>
          <w:ilvl w:val="2"/>
          <w:numId w:val="2"/>
        </w:numPr>
        <w:rPr/>
      </w:pPr>
      <w:r>
        <w:rPr/>
        <w:t>567 МКД оснащены ОДПУ ХВС, которые приняты на коммерческий учет;</w:t>
      </w:r>
    </w:p>
    <w:p>
      <w:pPr>
        <w:pStyle w:val="Style31"/>
        <w:numPr>
          <w:ilvl w:val="1"/>
          <w:numId w:val="2"/>
        </w:numPr>
        <w:rPr/>
      </w:pPr>
      <w:r>
        <w:rPr/>
        <w:t>30 МКД относится к аварийному и ветхому жилому фонду;</w:t>
      </w:r>
    </w:p>
    <w:p>
      <w:pPr>
        <w:pStyle w:val="Style31"/>
        <w:numPr>
          <w:ilvl w:val="1"/>
          <w:numId w:val="2"/>
        </w:numPr>
        <w:rPr/>
      </w:pPr>
      <w:r>
        <w:rPr/>
        <w:t xml:space="preserve">326 МКД не оснащены ОДПУ ХВС, в т.ч.: </w:t>
      </w:r>
    </w:p>
    <w:p>
      <w:pPr>
        <w:pStyle w:val="Style31"/>
        <w:numPr>
          <w:ilvl w:val="2"/>
          <w:numId w:val="2"/>
        </w:numPr>
        <w:rPr/>
      </w:pPr>
      <w:r>
        <w:rPr/>
        <w:t>213 МКД не имеют технической возможности для установки ОДПУ;</w:t>
      </w:r>
    </w:p>
    <w:p>
      <w:pPr>
        <w:pStyle w:val="Style31"/>
        <w:numPr>
          <w:ilvl w:val="0"/>
          <w:numId w:val="2"/>
        </w:numPr>
        <w:rPr/>
      </w:pPr>
      <w:r>
        <w:rPr/>
        <w:t xml:space="preserve">794 МКД обеспечены услугой горячего водоснабжения, из которых: </w:t>
      </w:r>
    </w:p>
    <w:p>
      <w:pPr>
        <w:pStyle w:val="Style31"/>
        <w:numPr>
          <w:ilvl w:val="1"/>
          <w:numId w:val="2"/>
        </w:numPr>
        <w:rPr/>
      </w:pPr>
      <w:r>
        <w:rPr/>
        <w:t>406 МКД фактически оснащены ОДПУ ГВС, в т.ч.:</w:t>
      </w:r>
    </w:p>
    <w:p>
      <w:pPr>
        <w:pStyle w:val="Style31"/>
        <w:numPr>
          <w:ilvl w:val="2"/>
          <w:numId w:val="2"/>
        </w:numPr>
        <w:rPr/>
      </w:pPr>
      <w:r>
        <w:rPr/>
        <w:t>378 МКД оснащены ОДПУ ГВС, которые приняты на коммерческий учет;</w:t>
      </w:r>
    </w:p>
    <w:p>
      <w:pPr>
        <w:pStyle w:val="Style31"/>
        <w:numPr>
          <w:ilvl w:val="1"/>
          <w:numId w:val="2"/>
        </w:numPr>
        <w:rPr/>
      </w:pPr>
      <w:r>
        <w:rPr/>
        <w:t>7 МКД относится к аварийному и ветхому жилому фонду;</w:t>
      </w:r>
    </w:p>
    <w:p>
      <w:pPr>
        <w:pStyle w:val="Style31"/>
        <w:numPr>
          <w:ilvl w:val="1"/>
          <w:numId w:val="2"/>
        </w:numPr>
        <w:rPr/>
      </w:pPr>
      <w:r>
        <w:rPr/>
        <w:t xml:space="preserve">388 МКД не оснащены ОДПУ ГВС, в т.ч.: </w:t>
      </w:r>
    </w:p>
    <w:p>
      <w:pPr>
        <w:pStyle w:val="Style31"/>
        <w:numPr>
          <w:ilvl w:val="2"/>
          <w:numId w:val="2"/>
        </w:numPr>
        <w:rPr/>
      </w:pPr>
      <w:r>
        <w:rPr/>
        <w:t>274 МКД не имеют технической возможности для установки ОДПУ;</w:t>
      </w:r>
    </w:p>
    <w:p>
      <w:pPr>
        <w:pStyle w:val="Style31"/>
        <w:numPr>
          <w:ilvl w:val="2"/>
          <w:numId w:val="2"/>
        </w:numPr>
        <w:rPr/>
      </w:pPr>
      <w:r>
        <w:rPr/>
        <w:t xml:space="preserve">23 МКД запланированы к оснащению ОДПУ ГВС до 31.12.2023. </w:t>
      </w:r>
    </w:p>
    <w:p>
      <w:pPr>
        <w:pStyle w:val="Normal"/>
        <w:rPr/>
      </w:pPr>
      <w:r>
        <w:rPr/>
        <w:t>В разрезе организаций ВКХ на территории Беловского ГО сложилась следующая структура отпуска питьевой воды:</w:t>
      </w:r>
    </w:p>
    <w:p>
      <w:pPr>
        <w:pStyle w:val="Style31"/>
        <w:numPr>
          <w:ilvl w:val="0"/>
          <w:numId w:val="108"/>
        </w:numPr>
        <w:rPr/>
      </w:pPr>
      <w:r>
        <w:rPr/>
        <w:t>Доля отпущенной абонентам питьевой воды, определенная расчетным путем (по нормативам потребления), в эксплуатационной зоне ООО «Водоснабжение» составляет ~25,0% (около 75,0% устанавливается по приборам учета);</w:t>
      </w:r>
    </w:p>
    <w:p>
      <w:pPr>
        <w:pStyle w:val="Style31"/>
        <w:numPr>
          <w:ilvl w:val="0"/>
          <w:numId w:val="2"/>
        </w:numPr>
        <w:rPr/>
      </w:pPr>
      <w:r>
        <w:rPr/>
        <w:t>Доля отпущенной абонентам питьевой воды, определенная расчетным путем (по нормативам потребления), в эксплуатационной зоне МУП «Водоканал» составляет ~15,4% (около 84,6% устанавливается по приборам учета);</w:t>
      </w:r>
    </w:p>
    <w:p>
      <w:pPr>
        <w:pStyle w:val="Style31"/>
        <w:numPr>
          <w:ilvl w:val="0"/>
          <w:numId w:val="2"/>
        </w:numPr>
        <w:rPr/>
      </w:pPr>
      <w:r>
        <w:rPr/>
        <w:t xml:space="preserve">Доля отпущенной абонентам питьевой воды, определенная расчетным путем (по нормативам потребления), в эксплуатационной зоне ООО «ЭК» составляет ~35,4% (около 64,6% устанавливается по приборам учета). </w:t>
      </w:r>
    </w:p>
    <w:p>
      <w:pPr>
        <w:pStyle w:val="Normal"/>
        <w:rPr/>
      </w:pPr>
      <w:r>
        <w:rPr/>
        <w:t xml:space="preserve">На основании сведений, приведенных выше, следует сделать вывод о недостаточной оснащенности приборами коммерческого учета абонентов. </w:t>
      </w:r>
    </w:p>
    <w:p>
      <w:pPr>
        <w:pStyle w:val="Normal"/>
        <w:rPr/>
      </w:pPr>
      <w:r>
        <w:rPr/>
        <w:t>В соответствии с частью 5 статьи 13 главы 3 [</w:t>
      </w:r>
      <w:r>
        <w:rPr/>
        <w:fldChar w:fldCharType="begin"/>
      </w:r>
      <w:r>
        <w:rPr/>
        <w:instrText xml:space="preserve"> REF _Ref156887085 \r \h </w:instrText>
      </w:r>
      <w:r>
        <w:rPr/>
        <w:fldChar w:fldCharType="separate"/>
      </w:r>
      <w:r>
        <w:rPr/>
        <w:t>5</w:t>
      </w:r>
      <w:r>
        <w:rPr/>
        <w:fldChar w:fldCharType="end"/>
      </w:r>
      <w:r>
        <w:rPr/>
        <w:t>] собственники жилых домов, собственники помещений в многоквартирных домах, введенных в эксплуатацию на день вступления в силу [</w:t>
      </w:r>
      <w:r>
        <w:rPr/>
        <w:fldChar w:fldCharType="begin"/>
      </w:r>
      <w:r>
        <w:rPr/>
        <w:instrText xml:space="preserve"> REF _Ref156887085 \r \h </w:instrText>
      </w:r>
      <w:r>
        <w:rPr/>
        <w:fldChar w:fldCharType="separate"/>
      </w:r>
      <w:r>
        <w:rPr/>
        <w:t>5</w:t>
      </w:r>
      <w:r>
        <w:rPr/>
        <w:fldChar w:fldCharType="end"/>
      </w:r>
      <w:r>
        <w:rPr/>
        <w:t>], обязаны обеспечить оснащение таких домов приборами учета используемых воды,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воды, тепловой энергии, электрической энергии, а также индивидуальными и общими (для коммунальной квартиры) приборами учета используемых воды, электрической энергии.</w:t>
      </w:r>
    </w:p>
    <w:p>
      <w:pPr>
        <w:pStyle w:val="Normal"/>
        <w:rPr/>
      </w:pPr>
      <w:r>
        <w:rPr/>
        <w:t>В соответствии с пунктом 38</w:t>
      </w:r>
      <w:r>
        <w:rPr>
          <w:vertAlign w:val="superscript"/>
        </w:rPr>
        <w:t>1</w:t>
      </w:r>
      <w:r>
        <w:rPr/>
        <w:t xml:space="preserve"> [</w:t>
      </w:r>
      <w:r>
        <w:rPr/>
        <w:fldChar w:fldCharType="begin"/>
      </w:r>
      <w:r>
        <w:rPr/>
        <w:instrText xml:space="preserve"> REF _Ref156887509 \r \h </w:instrText>
      </w:r>
      <w:r>
        <w:rPr/>
        <w:fldChar w:fldCharType="separate"/>
      </w:r>
      <w:r>
        <w:rPr/>
        <w:t>21</w:t>
      </w:r>
      <w:r>
        <w:rPr/>
        <w:fldChar w:fldCharType="end"/>
      </w:r>
      <w:r>
        <w:rPr/>
        <w:t>] в случае если собственники помещений в многоквартирном доме не обеспечили оснащение такого дома коллективным (общедомовым) прибором учета используемого коммунального ресурса и при этом был установлен коллективный (общедомовой) прибор учета, собственники помещений обязаны оплатить расходы на установку такого прибора учета, за исключением случаев, когда такие расходы были учтены в составе платы за содержание жилого помещения и (или) в составе установленных для членов товарищества собственников жилья либо жилищного кооператива или иного специализированного потребительского кооператива обязательных платежей и (или) взносов, связанных с оплатой расходов на содержание, текущий и капитальный ремонт общего имущества.</w:t>
      </w:r>
    </w:p>
    <w:p>
      <w:pPr>
        <w:pStyle w:val="Normal"/>
        <w:rPr/>
      </w:pPr>
      <w:r>
        <w:rPr/>
        <w:t>Счета на оплату расходов на установку коллективного (общедомового) прибора учета с указанием общего размера расходов на установку такого прибора учета и доли расходов на установку такого прибора учета, бремя которых несет собственник помещения, выставляются собственникам помещений организацией, осуществившей установку коллективного (общедомового) прибора учета. Доля расходов на установку коллективного (общедомового) прибора учета, бремя которых несет собственник помещения, определяется исходя из его доли в праве общей собственности на общее имущество.</w:t>
      </w:r>
    </w:p>
    <w:p>
      <w:pPr>
        <w:pStyle w:val="Normal"/>
        <w:rPr/>
      </w:pPr>
      <w:r>
        <w:rPr/>
        <w:t>Также в соответствии с частью 9 статьи 13 главы 3 [</w:t>
      </w:r>
      <w:r>
        <w:rPr/>
        <w:fldChar w:fldCharType="begin"/>
      </w:r>
      <w:r>
        <w:rPr/>
        <w:instrText xml:space="preserve"> REF _Ref156887085 \r \h </w:instrText>
      </w:r>
      <w:r>
        <w:rPr/>
        <w:fldChar w:fldCharType="separate"/>
      </w:r>
      <w:r>
        <w:rPr/>
        <w:t>5</w:t>
      </w:r>
      <w:r>
        <w:rPr/>
        <w:fldChar w:fldCharType="end"/>
      </w:r>
      <w:r>
        <w:rPr/>
        <w:t>] организации, осуществляющие снабжение водой,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w:t>
      </w:r>
    </w:p>
    <w:p>
      <w:pPr>
        <w:pStyle w:val="3"/>
        <w:rPr/>
      </w:pPr>
      <w:bookmarkStart w:id="74" w:name="_Toc158814574"/>
      <w:r>
        <w:rPr/>
        <w:t>Анализ резервов и дефицитов производственных мощностей системы водоснабжения поселения, городского округа</w:t>
      </w:r>
      <w:bookmarkEnd w:id="74"/>
    </w:p>
    <w:p>
      <w:pPr>
        <w:pStyle w:val="Normal"/>
        <w:rPr/>
      </w:pPr>
      <w:r>
        <w:rPr/>
        <w:t xml:space="preserve">Анализ резервов и дефицитов производственных мощностей системы водоснабжения Беловского ГО приведены выше в </w:t>
      </w:r>
      <w:hyperlink w:anchor="_Общий_баланс_подачи">
        <w:r>
          <w:rPr>
            <w:rStyle w:val="-"/>
          </w:rPr>
          <w:t>подразделе 1.3.1</w:t>
        </w:r>
      </w:hyperlink>
      <w:r>
        <w:rPr/>
        <w:t xml:space="preserve">. </w:t>
      </w:r>
    </w:p>
    <w:p>
      <w:pPr>
        <w:pStyle w:val="Normal"/>
        <w:rPr/>
      </w:pPr>
      <w:r>
        <w:rPr/>
        <w:t xml:space="preserve">На территории Беловского ГО дефициты производственных мощностей источников питьевого водоснабжения не выявлены (отсутствуют). </w:t>
      </w:r>
    </w:p>
    <w:p>
      <w:pPr>
        <w:pStyle w:val="3"/>
        <w:rPr/>
      </w:pPr>
      <w:bookmarkStart w:id="75" w:name="_Прогнозные_балансы_потребления"/>
      <w:bookmarkStart w:id="76" w:name="_Toc158814575"/>
      <w:bookmarkEnd w:id="75"/>
      <w:r>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76"/>
    </w:p>
    <w:p>
      <w:pPr>
        <w:sectPr>
          <w:footerReference w:type="default" r:id="rId27"/>
          <w:footerReference w:type="first" r:id="rId28"/>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 xml:space="preserve">Прогнозные балансы потребления питьевой воды на срок 2023–2036 годов в соответствии с приоритетным сценарием развития ЦС ХВС Беловского ГО, рассчитанные исходя из текущего объема потребления воды населением и его динамики с учетом перспективы развития и изменения состава и структуры застройки, приведены в таблице </w:t>
      </w:r>
      <w:r>
        <w:rPr/>
        <w:fldChar w:fldCharType="begin"/>
      </w:r>
      <w:r>
        <w:rPr/>
        <w:instrText xml:space="preserve"> REF _Ref156889775 \h </w:instrText>
      </w:r>
      <w:r>
        <w:rPr/>
        <w:fldChar w:fldCharType="separate"/>
      </w:r>
      <w:r>
        <w:rPr/>
        <w:t>Таблица 1.3.18</w:t>
      </w:r>
      <w:r>
        <w:rPr/>
        <w:fldChar w:fldCharType="end"/>
      </w:r>
      <w:r>
        <w:rPr/>
        <w:t xml:space="preserve">. </w:t>
      </w:r>
    </w:p>
    <w:p>
      <w:pPr>
        <w:pStyle w:val="Style34"/>
        <w:rPr/>
      </w:pPr>
      <w:bookmarkStart w:id="77" w:name="_Ref156889775"/>
      <w:r>
        <w:rPr/>
        <w:t xml:space="preserve">Таблица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Таблица \* ARABIC </w:instrText>
      </w:r>
      <w:r>
        <w:rPr/>
        <w:fldChar w:fldCharType="separate"/>
      </w:r>
      <w:r>
        <w:rPr/>
        <w:t>18</w:t>
      </w:r>
      <w:r>
        <w:rPr/>
        <w:fldChar w:fldCharType="end"/>
      </w:r>
      <w:bookmarkEnd w:id="77"/>
      <w:r>
        <w:rPr/>
        <w:t xml:space="preserve"> – Прогнозные балансы потребления питьевой воды на срок 2023–2036 годов в соответствии с приоритетным сценарием развития ЦС ХВС Беловского ГО, рассчитанные исходя из текущего объема потребления воды населением и его динамики с учетом перспективы развития и изменения состава и структуры застройки</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10"/>
        <w:gridCol w:w="3644"/>
        <w:gridCol w:w="711"/>
        <w:gridCol w:w="685"/>
        <w:gridCol w:w="687"/>
        <w:gridCol w:w="687"/>
        <w:gridCol w:w="687"/>
        <w:gridCol w:w="688"/>
        <w:gridCol w:w="688"/>
        <w:gridCol w:w="687"/>
        <w:gridCol w:w="688"/>
        <w:gridCol w:w="686"/>
        <w:gridCol w:w="688"/>
        <w:gridCol w:w="688"/>
        <w:gridCol w:w="688"/>
        <w:gridCol w:w="687"/>
        <w:gridCol w:w="671"/>
      </w:tblGrid>
      <w:tr>
        <w:trPr>
          <w:tblHeader w:val="true"/>
          <w:trHeight w:val="20" w:hRule="atLeast"/>
        </w:trPr>
        <w:tc>
          <w:tcPr>
            <w:tcW w:w="61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64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7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изм.</w:t>
            </w:r>
          </w:p>
        </w:tc>
        <w:tc>
          <w:tcPr>
            <w:tcW w:w="9605" w:type="dxa"/>
            <w:gridSpan w:val="14"/>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blHeader w:val="true"/>
          <w:trHeight w:val="20" w:hRule="atLeast"/>
        </w:trPr>
        <w:tc>
          <w:tcPr>
            <w:tcW w:w="61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blHeader w:val="true"/>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«Водоснабжение»</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6 690,1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6 631,8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6 588,1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6 550,5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6 507,9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6 484,9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6 460,6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6 435,0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6 400,0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6 384,4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6 363,4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6 327,9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6 304,6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6 289,2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нужды предприятия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6 316,4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6 258,1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6 214,4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6 176,7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6 134,1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6 111,1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6 086,8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6 061,3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6 026,2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6 010,6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5 989,7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5 954,1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5 930,9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5 915,4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5 057,5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5 018,3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4 995,6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4 973,8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4 962,2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4 950,6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4 939,0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4 927,4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4 915,8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4 904,2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4 892,6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4 881,1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4 869,5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4 857,9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5 057,5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5 018,3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4 995,6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4 973,8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4 962,2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4 950,6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4 939,0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4 927,4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4 915,8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4 904,2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4 892,6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4 881,1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4 869,5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4 857,9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3 493,0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3 236,3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3 213,6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3 191,7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3 180,2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3 168,6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3 157,0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3 145,4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3 133,8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3 122,2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3 110,6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3 099,0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3 087,4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3 075,8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292,2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1 272,4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1 457,9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1 258,8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1 239,7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1 218,8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1 202,9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1 171,9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1 160,5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1 133,8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1 110,4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1 097,0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1 073,1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1 061,4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1 057,6</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6 316,4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6 258,1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6 214,4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6 176,7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6 134,1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6 111,1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6 086,8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6 061,3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6 026,2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6 010,6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5 989,7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5 954,1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5 930,9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5 915,4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17 293,3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17 133,6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17 014,1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16 910,9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16 794,3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16 731,4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16 664,8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16 594,9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16 498,9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16 456,2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16 398,8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16 301,5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16 237,8</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16 195,6</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20 751,9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20 560,3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20 416,9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20 293,1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20 153,2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20 077,6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19 997,8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19 913,8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19 798,6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19 747,5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19 678,6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19 561,8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19 485,3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19 434,7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33 012,7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20 751,9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20 560,3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20 416,9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20 293,1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20 153,2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20 077,6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19 997,8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19 913,8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19 798,6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19 747,5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19 678,6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19 561,8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19 485,3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19 434,7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12 260,8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12 452,4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12 595,8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12 719,6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12 859,5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12 935,1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13 014,9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13 098,9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13 214,1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13 265,2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13 334,1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13 450,9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13 527,4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13 578,0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41,1%</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МУП «Водоканал»</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Получено воды со стороны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981,6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942,9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935,0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 и на нужды предприятия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981,6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942,9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935,0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812,8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809,3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801,6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798,4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796,8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795,2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793,6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792,0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790,4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788,8</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787,2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812,8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809,3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801,6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798,4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796,8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795,2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793,6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792,0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790,4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788,8</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787,2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443,1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438,5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436,9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435,3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433,7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432,1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428,9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427,3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425,7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424,1</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341,2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178,2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168,3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163,4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162,5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154,6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152,5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147,7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981,6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942,9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935,0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2 352,3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2 703,9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2 687,5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2 667,6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2 655,5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2 643,5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2 633,3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2 626,5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2 619,6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2 604,8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2 591,8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2 581,5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2 572,8</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2 559,8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2 822,8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3 244,6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3 225,0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3 201,1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3 186,6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3 172,2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3 160,0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3 151,8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3 143,5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3 125,8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3 110,2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3 097,9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3 087,4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3 071,8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2 822,8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3 244,6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3 225,0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3 201,1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3 186,6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3 172,2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3 160,0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3 151,8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3 143,5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3 125,8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3 110,2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3 097,9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3 087,4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3 071,8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2.13.1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«ЭК»</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1 170,1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1 151,3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1 144,2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1 134,6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1 128,9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1 122,8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1 119,6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1 116,9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1 113,2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1 108,7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нужды предприятия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1 141,0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1 121,5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1 118,7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1 106,7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1 102,9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1 098,5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1 141,0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1 121,5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1 118,7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1 106,7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1 102,9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1 098,5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1 001,9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998,9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995,7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992,6</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991,0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984,6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983,0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683,9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680,4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677,3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674,3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672,7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671,1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669,5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667,9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666,3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663,1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661,5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659,9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658,3</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448,1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438,5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436,9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433,8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432,2</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429,0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427,4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425,8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424,2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422,6</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206,4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154,3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140,4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139,1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135,1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132,5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128,7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127,4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126,1</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126,1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121,6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118,3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1 141,0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1 121,5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1 118,7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1 106,7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1 102,9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1 098,5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3 175,7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3 136,0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3 124,0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3 104,8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3 093,4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3 078,5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3 070,6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3 062,8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3 058,4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3 046,1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3 037,3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3 030,0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3 019,7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3 007,5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3.10</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3 810,8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3 763,2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3 748,8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3 725,7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3 712,0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3 694,2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3 684,7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3 675,3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3 670,1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3 655,3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3 644,8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3 636,0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3 623,6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3 609,1</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7 915,0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3 810,8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3 763,2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3 748,8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3 725,7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3 712,0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3 694,2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3 684,7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3 675,3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3 670,1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3 655,3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3 644,8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3 636,0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3 623,6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3 609,1</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4 104,2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4 151,8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4 166,2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4 189,3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4 203,0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4 220,8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4 230,3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4 239,7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4 244,9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4 259,7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4 270,2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4 279,0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4 291,4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4 305,9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53,6%</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Итого в ЦС ХВС (питьевого) Беловского ГО</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Общий баланс подачи и реализации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Поднято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7 860,2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7 787,4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7 739,4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7 694,7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7 647,9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7 619,5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7 592,3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7 563,9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7 527,3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7 507,2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7 483,0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7 444,8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7 417,8</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7 397,9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Получено воды со стороны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859,2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981,6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974,3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961,8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956,8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951,4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946,7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942,9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939,7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935,0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Расход воды на коммунально-бытовые нужды и на нужды предприятия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384,0</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Пропущено через очистные сооружения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1 159,9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1 141,0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1 134,0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1 124,4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1 121,5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1 118,7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1 112,6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1 109,4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1 106,7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1 102,9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1 098,5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Подано воды в сеть</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8 391,1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8 337,0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8 285,1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8 233,9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8 201,1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8 170,2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8 139,3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8 100,1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8 074,6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8 045,7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8 003,7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7 973,5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7 948,9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Отпущено воды по категориям потребителей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6 876,0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6 832,7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6 803,7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6 775,9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6 761,1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6 746,4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6 731,6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6 716,8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6 702,0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6 687,2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6 672,4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6 657,6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6 642,9</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6 628,1</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потребительский рынок</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6 554,2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6 508,0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6 479,1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6 451,3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6 436,5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6 421,7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6 406,9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6 392,1</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6 377,3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6 362,6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6 347,8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6 333,0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6 318,2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6 303,4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Населению</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4 390,8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4 127,1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4 098,2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4 070,4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4 055,6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4 040,8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4 026,0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4 011,2</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3 996,4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3 981,7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3 966,9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3 952,1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3 937,3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3 922,5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Бюджетным организациям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343,5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Прочим потребителям</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1 819,9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2 005,4</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На собственные нужды производства</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324,7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Потери воды</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1 459,5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1 558,4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1 533,3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1 509,1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1 472,7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1 454,7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1 438,6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1 422,5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1 398,1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1 387,4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1 373,3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1 346,1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1 330,7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1 320,8</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17,5%</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17,3%</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Прочие показатели</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(годовой)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8 391,1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8 337,0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8 285,1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8 233,9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8 201,1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8 170,2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8 139,3</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8 100,1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8 074,6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8 045,7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8 003,7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7 973,5</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7 948,9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(среднесуточный)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22 821,3</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22 973,5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22 825,5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22 683,2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22 543,2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22 453,4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22 368,8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22 284,1</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22 176,9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22 107,1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22 028,0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21 913,0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21 830,3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21 762,9</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4.10</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Территориальный баланс подачи воды (в сутки максимального водопотребления)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27 385,5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27 568,2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27 390,7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27 219,9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27 051,8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26 944,1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26 842,5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26 740,9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26 612,2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26 528,5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26 433,6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26 295,6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26 196,4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26 115,5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Анализ резервов и дефицитов производственных мощностей системы водоснабжения</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Располагаемая производительность водозаборных (водоочистных) сооружений (допустимый водоотбор)</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40 927,7</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4.12</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Требуемая производительность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27 385,5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27 568,2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27 390,7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27 219,9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27 051,8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26 944,1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26 842,5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26 740,9</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26 612,2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26 528,5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26 433,6</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26 295,6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26 196,4</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26 115,5</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4.13</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Резерв/дефицит производительности водозаборных (водоочистных) сооружений</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13 542,2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13 359,6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13 537,1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13 707,8</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13 875,9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13 983,7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14 085,2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14 186,8</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14 315,5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14 399,2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14 494,1</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14 632,1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14 731,3</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14 812,2</w:t>
            </w:r>
          </w:p>
        </w:tc>
      </w:tr>
      <w:tr>
        <w:trPr>
          <w:trHeight w:val="20" w:hRule="atLeast"/>
        </w:trPr>
        <w:tc>
          <w:tcPr>
            <w:tcW w:w="6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4.13.1</w:t>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То же в %</w:t>
            </w:r>
          </w:p>
        </w:tc>
        <w:tc>
          <w:tcPr>
            <w:tcW w:w="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32,6%</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33,5%</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33,9%</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34,7%</w:t>
            </w:r>
          </w:p>
        </w:tc>
        <w:tc>
          <w:tcPr>
            <w:tcW w:w="6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35,0%</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35,2%</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35,4%</w:t>
            </w:r>
          </w:p>
        </w:tc>
        <w:tc>
          <w:tcPr>
            <w:tcW w:w="6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36,2%</w:t>
            </w:r>
          </w:p>
        </w:tc>
      </w:tr>
    </w:tbl>
    <w:p>
      <w:pPr>
        <w:sectPr>
          <w:footerReference w:type="default" r:id="rId29"/>
          <w:footerReference w:type="first" r:id="rId30"/>
          <w:type w:val="nextPage"/>
          <w:pgSz w:orient="landscape" w:w="16838" w:h="11906"/>
          <w:pgMar w:left="1134" w:right="1134" w:gutter="0" w:header="0" w:top="1701" w:footer="708" w:bottom="850"/>
          <w:pgNumType w:fmt="decimal"/>
          <w:formProt w:val="false"/>
          <w:textDirection w:val="lrTb"/>
          <w:docGrid w:type="default" w:linePitch="360" w:charSpace="0"/>
        </w:sectPr>
      </w:pPr>
    </w:p>
    <w:p>
      <w:pPr>
        <w:pStyle w:val="Normal"/>
        <w:rPr/>
      </w:pPr>
      <w:r>
        <w:rPr/>
        <w:t xml:space="preserve">Структурный баланс подъема питьевой воды в разрезе технологических и эксплуатационных зон на территории Беловского ГО на 2036 год приведен на рисунке </w:t>
      </w:r>
      <w:r>
        <w:rPr/>
        <w:fldChar w:fldCharType="begin"/>
      </w:r>
      <w:r>
        <w:rPr/>
        <w:instrText xml:space="preserve"> REF _Ref156890578 \h </w:instrText>
      </w:r>
      <w:r>
        <w:rPr/>
        <w:fldChar w:fldCharType="separate"/>
      </w:r>
      <w:r>
        <w:rPr/>
        <w:t>Рисунок 1.3.12</w:t>
      </w:r>
      <w:r>
        <w:rPr/>
        <w:fldChar w:fldCharType="end"/>
      </w:r>
      <w:r>
        <w:rPr/>
        <w:t xml:space="preserve">. </w:t>
      </w:r>
    </w:p>
    <w:p>
      <w:pPr>
        <w:pStyle w:val="Style26"/>
        <w:rPr/>
      </w:pPr>
      <w:r>
        <w:rPr/>
        <w:drawing>
          <wp:inline distT="0" distB="0" distL="0" distR="0">
            <wp:extent cx="5939790" cy="4217670"/>
            <wp:effectExtent l="0" t="0" r="0" b="0"/>
            <wp:docPr id="14"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9" descr=""/>
                    <pic:cNvPicPr>
                      <a:picLocks noChangeAspect="1" noChangeArrowheads="1"/>
                    </pic:cNvPicPr>
                  </pic:nvPicPr>
                  <pic:blipFill>
                    <a:blip r:embed="rId31"/>
                    <a:srcRect l="6353" t="0" r="5681" b="0"/>
                    <a:stretch>
                      <a:fillRect/>
                    </a:stretch>
                  </pic:blipFill>
                  <pic:spPr bwMode="auto">
                    <a:xfrm>
                      <a:off x="0" y="0"/>
                      <a:ext cx="5939790" cy="4217670"/>
                    </a:xfrm>
                    <a:prstGeom prst="rect">
                      <a:avLst/>
                    </a:prstGeom>
                    <a:ln w="9525">
                      <a:solidFill>
                        <a:srgbClr val="000000"/>
                      </a:solidFill>
                    </a:ln>
                  </pic:spPr>
                </pic:pic>
              </a:graphicData>
            </a:graphic>
          </wp:inline>
        </w:drawing>
      </w:r>
    </w:p>
    <w:p>
      <w:pPr>
        <w:pStyle w:val="Caption"/>
        <w:rPr/>
      </w:pPr>
      <w:bookmarkStart w:id="78" w:name="_Ref156890578"/>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12</w:t>
      </w:r>
      <w:r>
        <w:rPr/>
        <w:fldChar w:fldCharType="end"/>
      </w:r>
      <w:bookmarkEnd w:id="78"/>
      <w:r>
        <w:rPr/>
        <w:t xml:space="preserve"> – Структурный баланс подъема питьевой воды в разрезе технологических и эксплуатационных зон на территории Беловского ГО на 2036 год</w:t>
      </w:r>
    </w:p>
    <w:p>
      <w:pPr>
        <w:pStyle w:val="3"/>
        <w:rPr/>
      </w:pPr>
      <w:bookmarkStart w:id="79" w:name="_Toc158814576"/>
      <w:r>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79"/>
    </w:p>
    <w:p>
      <w:pPr>
        <w:pStyle w:val="Normal"/>
        <w:rPr/>
      </w:pPr>
      <w:r>
        <w:rPr/>
        <w:t xml:space="preserve">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 приведено выше в составе </w:t>
      </w:r>
      <w:hyperlink w:anchor="_Описание_централизованной_системы">
        <w:r>
          <w:rPr>
            <w:rStyle w:val="-"/>
          </w:rPr>
          <w:t>пункта 1.1.4.6</w:t>
        </w:r>
      </w:hyperlink>
      <w:r>
        <w:rPr/>
        <w:t xml:space="preserve">. </w:t>
      </w:r>
    </w:p>
    <w:p>
      <w:pPr>
        <w:pStyle w:val="3"/>
        <w:rPr/>
      </w:pPr>
      <w:bookmarkStart w:id="80" w:name="_Toc158814577"/>
      <w:r>
        <w:rPr/>
        <w:t>Сведения о фактическом и ожидаемом потреблении горячей, питьевой, технической воды (годовое, среднесуточное, максимальное суточное)</w:t>
      </w:r>
      <w:bookmarkEnd w:id="80"/>
    </w:p>
    <w:p>
      <w:pPr>
        <w:pStyle w:val="Normal"/>
        <w:rPr/>
      </w:pPr>
      <w:r>
        <w:rPr/>
        <w:t xml:space="preserve">Сведения о фактическом и ожидаемом потреблении питьевой воды (годовое, среднесуточное, максимальное суточное) на территории Беловского ГО представлены выше в </w:t>
      </w:r>
      <w:hyperlink w:anchor="_Прогнозные_балансы_потребления">
        <w:r>
          <w:rPr>
            <w:rStyle w:val="-"/>
          </w:rPr>
          <w:t>подразделе 1.3.7</w:t>
        </w:r>
      </w:hyperlink>
      <w:r>
        <w:rPr/>
        <w:t xml:space="preserve"> и на рисунке </w:t>
      </w:r>
      <w:r>
        <w:rPr/>
        <w:fldChar w:fldCharType="begin"/>
      </w:r>
      <w:r>
        <w:rPr/>
        <w:instrText xml:space="preserve"> REF _Ref156891969 \h </w:instrText>
      </w:r>
      <w:r>
        <w:rPr/>
        <w:fldChar w:fldCharType="separate"/>
      </w:r>
      <w:r>
        <w:rPr/>
        <w:t>Рисунок 1.3.13</w:t>
      </w:r>
      <w:r>
        <w:rPr/>
        <w:fldChar w:fldCharType="end"/>
      </w:r>
      <w:r>
        <w:rPr/>
        <w:t xml:space="preserve">. </w:t>
      </w:r>
    </w:p>
    <w:p>
      <w:pPr>
        <w:pStyle w:val="Style26"/>
        <w:rPr/>
      </w:pPr>
      <w:r>
        <w:rPr/>
        <w:drawing>
          <wp:inline distT="0" distB="0" distL="0" distR="0">
            <wp:extent cx="5939790" cy="3816985"/>
            <wp:effectExtent l="0" t="0" r="0" b="0"/>
            <wp:docPr id="15"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1" descr=""/>
                    <pic:cNvPicPr>
                      <a:picLocks noChangeAspect="1" noChangeArrowheads="1"/>
                    </pic:cNvPicPr>
                  </pic:nvPicPr>
                  <pic:blipFill>
                    <a:blip r:embed="rId32"/>
                    <a:stretch>
                      <a:fillRect/>
                    </a:stretch>
                  </pic:blipFill>
                  <pic:spPr bwMode="auto">
                    <a:xfrm>
                      <a:off x="0" y="0"/>
                      <a:ext cx="5939790" cy="3816985"/>
                    </a:xfrm>
                    <a:prstGeom prst="rect">
                      <a:avLst/>
                    </a:prstGeom>
                  </pic:spPr>
                </pic:pic>
              </a:graphicData>
            </a:graphic>
          </wp:inline>
        </w:drawing>
      </w:r>
    </w:p>
    <w:p>
      <w:pPr>
        <w:pStyle w:val="Caption"/>
        <w:rPr/>
      </w:pPr>
      <w:bookmarkStart w:id="81" w:name="_Ref156891969"/>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13</w:t>
      </w:r>
      <w:r>
        <w:rPr/>
        <w:fldChar w:fldCharType="end"/>
      </w:r>
      <w:bookmarkEnd w:id="81"/>
      <w:r>
        <w:rPr/>
        <w:t xml:space="preserve"> – Территориальный баланс подачи питьевой воды по технологическим зонам водоснабжения (в сутки максимального водопотребления) Беловского ГО на 2036 год</w:t>
      </w:r>
    </w:p>
    <w:p>
      <w:pPr>
        <w:pStyle w:val="3"/>
        <w:rPr/>
      </w:pPr>
      <w:bookmarkStart w:id="82" w:name="_Toc158814578"/>
      <w:r>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82"/>
    </w:p>
    <w:p>
      <w:pPr>
        <w:pStyle w:val="Normal"/>
        <w:rPr/>
      </w:pPr>
      <w:r>
        <w:rPr/>
        <w:t xml:space="preserve">Описание территориальной структуры потребления питьевой воды, которую следует определять по отчетам организаций, осуществляющих водоснабжение, с разбивкой по технологическим зонам приведено выше в </w:t>
      </w:r>
      <w:hyperlink w:anchor="_Общий_баланс_подачи">
        <w:r>
          <w:rPr>
            <w:rStyle w:val="-"/>
          </w:rPr>
          <w:t>подразделе 1.3.1</w:t>
        </w:r>
      </w:hyperlink>
      <w:r>
        <w:rPr/>
        <w:t>.</w:t>
      </w:r>
    </w:p>
    <w:p>
      <w:pPr>
        <w:pStyle w:val="3"/>
        <w:rPr/>
      </w:pPr>
      <w:bookmarkStart w:id="83" w:name="_Toc158814579"/>
      <w:r>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83"/>
    </w:p>
    <w:p>
      <w:pPr>
        <w:pStyle w:val="Normal"/>
        <w:rPr/>
      </w:pPr>
      <w:r>
        <w:rPr/>
        <w:t xml:space="preserve">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питьевой воды с учетом данных о перспективном потреблении питьевой воды абонентами приведены выше в </w:t>
      </w:r>
      <w:hyperlink w:anchor="_Прогнозные_балансы_потребления">
        <w:r>
          <w:rPr>
            <w:rStyle w:val="-"/>
          </w:rPr>
          <w:t>подразделе 1.3.7</w:t>
        </w:r>
      </w:hyperlink>
      <w:r>
        <w:rPr/>
        <w:t xml:space="preserve"> и на рисунке </w:t>
      </w:r>
      <w:r>
        <w:rPr/>
        <w:fldChar w:fldCharType="begin"/>
      </w:r>
      <w:r>
        <w:rPr/>
        <w:instrText xml:space="preserve"> REF _Ref156932786 \h </w:instrText>
      </w:r>
      <w:r>
        <w:rPr/>
        <w:fldChar w:fldCharType="separate"/>
      </w:r>
      <w:r>
        <w:rPr/>
        <w:t>Рисунок 1.3.14</w:t>
      </w:r>
      <w:r>
        <w:rPr/>
        <w:fldChar w:fldCharType="end"/>
      </w:r>
      <w:r>
        <w:rPr/>
        <w:t xml:space="preserve">. </w:t>
      </w:r>
    </w:p>
    <w:p>
      <w:pPr>
        <w:pStyle w:val="Style26"/>
        <w:rPr/>
      </w:pPr>
      <w:r>
        <w:rPr/>
        <w:drawing>
          <wp:inline distT="0" distB="0" distL="0" distR="0">
            <wp:extent cx="5939790" cy="3879215"/>
            <wp:effectExtent l="0" t="0" r="0" b="0"/>
            <wp:docPr id="16"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3" descr=""/>
                    <pic:cNvPicPr>
                      <a:picLocks noChangeAspect="1" noChangeArrowheads="1"/>
                    </pic:cNvPicPr>
                  </pic:nvPicPr>
                  <pic:blipFill>
                    <a:blip r:embed="rId33"/>
                    <a:stretch>
                      <a:fillRect/>
                    </a:stretch>
                  </pic:blipFill>
                  <pic:spPr bwMode="auto">
                    <a:xfrm>
                      <a:off x="0" y="0"/>
                      <a:ext cx="5939790" cy="3879215"/>
                    </a:xfrm>
                    <a:prstGeom prst="rect">
                      <a:avLst/>
                    </a:prstGeom>
                  </pic:spPr>
                </pic:pic>
              </a:graphicData>
            </a:graphic>
          </wp:inline>
        </w:drawing>
      </w:r>
    </w:p>
    <w:p>
      <w:pPr>
        <w:pStyle w:val="Caption"/>
        <w:rPr/>
      </w:pPr>
      <w:bookmarkStart w:id="84" w:name="_Ref156932786"/>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14</w:t>
      </w:r>
      <w:r>
        <w:rPr/>
        <w:fldChar w:fldCharType="end"/>
      </w:r>
      <w:bookmarkEnd w:id="84"/>
      <w:r>
        <w:rPr/>
        <w:t xml:space="preserve"> –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Беловского ГО на 2036 год</w:t>
      </w:r>
    </w:p>
    <w:p>
      <w:pPr>
        <w:pStyle w:val="3"/>
        <w:rPr/>
      </w:pPr>
      <w:bookmarkStart w:id="85" w:name="_Toc158814580"/>
      <w:r>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85"/>
    </w:p>
    <w:p>
      <w:pPr>
        <w:pStyle w:val="Normal"/>
        <w:rPr/>
      </w:pPr>
      <w:r>
        <w:rPr/>
        <w:t xml:space="preserve">Сведения о фактических и планируемых потерях питьевой воды при ее транспортировке (годовые, среднесуточные значения) приведены в таблице </w:t>
      </w:r>
      <w:r>
        <w:rPr/>
        <w:fldChar w:fldCharType="begin"/>
      </w:r>
      <w:r>
        <w:rPr/>
        <w:instrText xml:space="preserve"> REF _Ref156940391 \h </w:instrText>
      </w:r>
      <w:r>
        <w:rPr/>
        <w:fldChar w:fldCharType="separate"/>
      </w:r>
      <w:r>
        <w:rPr/>
        <w:t>Таблица 1.3.19</w:t>
      </w:r>
      <w:r>
        <w:rPr/>
        <w:fldChar w:fldCharType="end"/>
      </w:r>
      <w:r>
        <w:rPr/>
        <w:t xml:space="preserve"> и на рисунке </w:t>
      </w:r>
      <w:r>
        <w:rPr/>
        <w:fldChar w:fldCharType="begin"/>
      </w:r>
      <w:r>
        <w:rPr/>
        <w:instrText xml:space="preserve"> REF _Ref156940905 \h </w:instrText>
      </w:r>
      <w:r>
        <w:rPr/>
        <w:fldChar w:fldCharType="separate"/>
      </w:r>
      <w:r>
        <w:rPr/>
        <w:t>Рисунок 1.3.15</w:t>
      </w:r>
      <w:r>
        <w:rPr/>
        <w:fldChar w:fldCharType="end"/>
      </w:r>
      <w:r>
        <w:rPr/>
        <w:t xml:space="preserve">. </w:t>
      </w:r>
    </w:p>
    <w:p>
      <w:pPr>
        <w:pStyle w:val="Style34"/>
        <w:rPr/>
      </w:pPr>
      <w:bookmarkStart w:id="86" w:name="_Ref156940391"/>
      <w:r>
        <w:rPr/>
        <w:t xml:space="preserve">Таблица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Таблица \* ARABIC </w:instrText>
      </w:r>
      <w:r>
        <w:rPr/>
        <w:fldChar w:fldCharType="separate"/>
      </w:r>
      <w:r>
        <w:rPr/>
        <w:t>19</w:t>
      </w:r>
      <w:r>
        <w:rPr/>
        <w:fldChar w:fldCharType="end"/>
      </w:r>
      <w:bookmarkEnd w:id="86"/>
      <w:r>
        <w:rPr/>
        <w:t xml:space="preserve"> – Сведения о фактических и планируемых потерях питьевой воды при ее транспортировке (годовые, среднесуточные значения)</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72"/>
        <w:gridCol w:w="5851"/>
        <w:gridCol w:w="819"/>
        <w:gridCol w:w="1008"/>
        <w:gridCol w:w="1005"/>
      </w:tblGrid>
      <w:tr>
        <w:trPr>
          <w:trHeight w:val="20" w:hRule="atLeast"/>
        </w:trPr>
        <w:tc>
          <w:tcPr>
            <w:tcW w:w="67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58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81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изм.</w:t>
            </w:r>
          </w:p>
        </w:tc>
        <w:tc>
          <w:tcPr>
            <w:tcW w:w="2013"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rHeight w:val="20" w:hRule="atLeast"/>
        </w:trPr>
        <w:tc>
          <w:tcPr>
            <w:tcW w:w="67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5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81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trPr>
        <w:tc>
          <w:tcPr>
            <w:tcW w:w="67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5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81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«Водоснабжение»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Годовые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1 290,0</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1 057,6</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3 531,8</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2 895,5</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МУП «Водоканал»</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Годовые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391,8</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147,7</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1 072,6</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404,5</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«ЭК»</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Годовые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125,0</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115,5</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342,2</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316,2</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Итого в ЦС ХВС (питьевого) Беловского ГО</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Годовые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тыс. м</w:t>
            </w:r>
            <w:r>
              <w:rPr>
                <w:rFonts w:eastAsia="Times New Roman" w:cs="Times New Roman"/>
                <w:color w:val="000000"/>
                <w:sz w:val="20"/>
                <w:szCs w:val="20"/>
                <w:vertAlign w:val="superscript"/>
                <w:lang w:eastAsia="ru-RU"/>
              </w:rPr>
              <w:t>3</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1 806,8</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1 320,8</w:t>
            </w:r>
          </w:p>
        </w:tc>
      </w:tr>
      <w:tr>
        <w:trPr>
          <w:trHeight w:val="20" w:hRule="atLeast"/>
        </w:trPr>
        <w:tc>
          <w:tcPr>
            <w:tcW w:w="67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58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Среднесуточные потери питьевой воды при транспортировке</w:t>
            </w:r>
          </w:p>
        </w:tc>
        <w:tc>
          <w:tcPr>
            <w:tcW w:w="8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1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4 946,6</w:t>
            </w:r>
          </w:p>
        </w:tc>
        <w:tc>
          <w:tcPr>
            <w:tcW w:w="10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3 616,3</w:t>
            </w:r>
          </w:p>
        </w:tc>
      </w:tr>
    </w:tbl>
    <w:p>
      <w:pPr>
        <w:pStyle w:val="Style26"/>
        <w:rPr/>
      </w:pPr>
      <w:r>
        <w:rPr/>
        <w:drawing>
          <wp:inline distT="0" distB="0" distL="0" distR="0">
            <wp:extent cx="5939790" cy="3570605"/>
            <wp:effectExtent l="0" t="0" r="0" b="0"/>
            <wp:docPr id="17"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4" descr=""/>
                    <pic:cNvPicPr>
                      <a:picLocks noChangeAspect="1" noChangeArrowheads="1"/>
                    </pic:cNvPicPr>
                  </pic:nvPicPr>
                  <pic:blipFill>
                    <a:blip r:embed="rId34"/>
                    <a:stretch>
                      <a:fillRect/>
                    </a:stretch>
                  </pic:blipFill>
                  <pic:spPr bwMode="auto">
                    <a:xfrm>
                      <a:off x="0" y="0"/>
                      <a:ext cx="5939790" cy="3570605"/>
                    </a:xfrm>
                    <a:prstGeom prst="rect">
                      <a:avLst/>
                    </a:prstGeom>
                  </pic:spPr>
                </pic:pic>
              </a:graphicData>
            </a:graphic>
          </wp:inline>
        </w:drawing>
      </w:r>
    </w:p>
    <w:p>
      <w:pPr>
        <w:pStyle w:val="Caption"/>
        <w:rPr>
          <w:vertAlign w:val="superscript"/>
        </w:rPr>
      </w:pPr>
      <w:bookmarkStart w:id="87" w:name="_Ref156940905"/>
      <w:r>
        <w:rPr/>
        <w:t xml:space="preserve">Рисунок </w:t>
      </w:r>
      <w:r>
        <w:fldChar w:fldCharType="begin"/>
      </w:r>
      <w:r>
        <w:rPr/>
        <w:instrText xml:space="preserve">STYLEREF 2 \s</w:instrText>
      </w:r>
      <w:r>
        <w:rPr/>
      </w:r>
      <w:r>
        <w:rPr/>
        <w:fldChar w:fldCharType="separate"/>
      </w:r>
      <w:r>
        <w:rPr/>
        <w:t>1.3</w:t>
      </w:r>
      <w:r>
        <w:rPr/>
      </w:r>
      <w:r>
        <w:rPr/>
        <w:fldChar w:fldCharType="end"/>
      </w:r>
      <w:r>
        <w:rPr/>
        <w:t>.</w:t>
      </w:r>
      <w:r>
        <w:rPr/>
        <w:fldChar w:fldCharType="begin"/>
      </w:r>
      <w:r>
        <w:rPr/>
        <w:instrText xml:space="preserve"> SEQ Рисунок \* ARABIC </w:instrText>
      </w:r>
      <w:r>
        <w:rPr/>
        <w:fldChar w:fldCharType="separate"/>
      </w:r>
      <w:r>
        <w:rPr/>
        <w:t>15</w:t>
      </w:r>
      <w:r>
        <w:rPr/>
        <w:fldChar w:fldCharType="end"/>
      </w:r>
      <w:bookmarkEnd w:id="87"/>
      <w:r>
        <w:rPr/>
        <w:t xml:space="preserve"> – Сведения о фактических и планируемых потерях питьевой воды при ее транспортировке, тыс. м</w:t>
      </w:r>
      <w:r>
        <w:rPr>
          <w:vertAlign w:val="superscript"/>
        </w:rPr>
        <w:t>3</w:t>
      </w:r>
    </w:p>
    <w:p>
      <w:pPr>
        <w:pStyle w:val="Normal"/>
        <w:rPr/>
      </w:pPr>
      <w:r>
        <w:rPr/>
        <w:t xml:space="preserve">На рассматриваемом перспективном периоде ожидается уменьшение подачи питьевой воды в ЦС ХВС Беловского ГО на 12,6%, что связано с прогнозируемым снижением реализации питьевой воды населению на 9,1% (предполагается убыль численности постоянного населения, см. </w:t>
      </w:r>
      <w:hyperlink w:anchor="_Различные_сценарии_развития">
        <w:r>
          <w:rPr>
            <w:rStyle w:val="-"/>
          </w:rPr>
          <w:t>подраздел 1.2.2</w:t>
        </w:r>
      </w:hyperlink>
      <w:r>
        <w:rPr/>
        <w:t xml:space="preserve">) и снижением потерь воды на 26,9% (обусловлено падением нагрузки на водопроводные сети, а также реализацией мероприятий на водопроводных сетях). </w:t>
      </w:r>
    </w:p>
    <w:p>
      <w:pPr>
        <w:pStyle w:val="3"/>
        <w:rPr/>
      </w:pPr>
      <w:bookmarkStart w:id="88" w:name="_Toc158814581"/>
      <w:r>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88"/>
    </w:p>
    <w:p>
      <w:pPr>
        <w:pStyle w:val="Normal"/>
        <w:rPr/>
      </w:pPr>
      <w:r>
        <w:rPr/>
        <w:t xml:space="preserve">Перспективные балансы водоснабжения приведены выше в </w:t>
      </w:r>
      <w:hyperlink w:anchor="_Прогнозные_балансы_потребления">
        <w:r>
          <w:rPr>
            <w:rStyle w:val="-"/>
          </w:rPr>
          <w:t>подразделе 1.3.7</w:t>
        </w:r>
      </w:hyperlink>
      <w:r>
        <w:rPr/>
        <w:t>.</w:t>
      </w:r>
    </w:p>
    <w:p>
      <w:pPr>
        <w:pStyle w:val="Normal"/>
        <w:rPr/>
      </w:pPr>
      <w:r>
        <w:rPr/>
        <w:t xml:space="preserve">Перспективные балансы водоотведения представлены ниже в </w:t>
      </w:r>
      <w:hyperlink w:anchor="_Сведения_о_фактическом">
        <w:r>
          <w:rPr>
            <w:rStyle w:val="-"/>
          </w:rPr>
          <w:t>подразделе 2.3.1</w:t>
        </w:r>
      </w:hyperlink>
      <w:r>
        <w:rPr/>
        <w:t xml:space="preserve">. </w:t>
      </w:r>
    </w:p>
    <w:p>
      <w:pPr>
        <w:pStyle w:val="3"/>
        <w:rPr/>
      </w:pPr>
      <w:bookmarkStart w:id="89" w:name="_Toc158814582"/>
      <w:r>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89"/>
    </w:p>
    <w:p>
      <w:pPr>
        <w:pStyle w:val="Normal"/>
        <w:rPr/>
      </w:pPr>
      <w:r>
        <w:rPr/>
        <w:t xml:space="preserve">Расчет требуемой мощности водозаборных и очистных сооружений представлен выше в </w:t>
      </w:r>
      <w:hyperlink w:anchor="_Прогнозные_балансы_потребления">
        <w:r>
          <w:rPr>
            <w:rStyle w:val="-"/>
          </w:rPr>
          <w:t>подразделе 1.3.7</w:t>
        </w:r>
      </w:hyperlink>
      <w:r>
        <w:rPr/>
        <w:t>.</w:t>
      </w:r>
    </w:p>
    <w:p>
      <w:pPr>
        <w:pStyle w:val="3"/>
        <w:rPr/>
      </w:pPr>
      <w:bookmarkStart w:id="90" w:name="_Toc158814583"/>
      <w:r>
        <w:rPr/>
        <w:t>Наименование организации, которая наделена статусом гарантирующей организации</w:t>
      </w:r>
      <w:bookmarkEnd w:id="90"/>
    </w:p>
    <w:p>
      <w:pPr>
        <w:pStyle w:val="Normal"/>
        <w:rPr/>
      </w:pPr>
      <w:r>
        <w:rPr/>
        <w:t>Положениями [</w:t>
      </w:r>
      <w:r>
        <w:rPr/>
        <w:fldChar w:fldCharType="begin"/>
      </w:r>
      <w:r>
        <w:rPr/>
        <w:instrText xml:space="preserve"> REF _Ref154925037 \n \h </w:instrText>
      </w:r>
      <w:r>
        <w:rPr/>
        <w:fldChar w:fldCharType="separate"/>
      </w:r>
      <w:r>
        <w:rPr/>
        <w:t>2</w:t>
      </w:r>
      <w:r>
        <w:rPr/>
        <w:fldChar w:fldCharType="end"/>
      </w:r>
      <w:r>
        <w:rPr/>
        <w:t>] введены и определены следующие понятия и требования:</w:t>
      </w:r>
    </w:p>
    <w:p>
      <w:pPr>
        <w:pStyle w:val="Style31"/>
        <w:numPr>
          <w:ilvl w:val="0"/>
          <w:numId w:val="109"/>
        </w:numPr>
        <w:rPr/>
      </w:pPr>
      <w:r>
        <w:rPr/>
        <w:t>статья 2 главы 1: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(за исключением случаев, предусмотренных настоящим Федеральным законом),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p>
      <w:pPr>
        <w:pStyle w:val="Style31"/>
        <w:numPr>
          <w:ilvl w:val="0"/>
          <w:numId w:val="2"/>
        </w:numPr>
        <w:rPr/>
      </w:pPr>
      <w:r>
        <w:rPr/>
        <w:t>статья 6 главы 2: к полномочиям органов местного самоуправления городских поселений, муниципальных округов, городских округов по организации водоснабжения и водоотведения на соответствующих территориях относится определение для централизованной системы холодного водоснабжения и (или) водоотведения поселения, муниципального округа, городского округа гарантирующей организации;</w:t>
      </w:r>
    </w:p>
    <w:p>
      <w:pPr>
        <w:pStyle w:val="Style31"/>
        <w:numPr>
          <w:ilvl w:val="0"/>
          <w:numId w:val="2"/>
        </w:numPr>
        <w:rPr/>
      </w:pPr>
      <w:r>
        <w:rPr/>
        <w:t>пункт 1 статьи 12 главы 3: органы местного самоуправления (за исключением случаев, предусмотренных настоящим Федеральным законом)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pPr>
        <w:pStyle w:val="Style31"/>
        <w:numPr>
          <w:ilvl w:val="0"/>
          <w:numId w:val="2"/>
        </w:numPr>
        <w:rPr/>
      </w:pPr>
      <w:r>
        <w:rPr/>
        <w:t>пункт 2 статьи 12 главы 3: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
    <w:p>
      <w:pPr>
        <w:pStyle w:val="Style31"/>
        <w:numPr>
          <w:ilvl w:val="0"/>
          <w:numId w:val="2"/>
        </w:numPr>
        <w:rPr/>
      </w:pPr>
      <w:r>
        <w:rPr/>
        <w:t xml:space="preserve">пункт 2 статьи 42 главы 8: 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 </w:t>
      </w:r>
    </w:p>
    <w:p>
      <w:pPr>
        <w:pStyle w:val="Normal"/>
        <w:rPr/>
      </w:pPr>
      <w:r>
        <w:rPr/>
        <w:t>В соответствии с приведенными выше понятиями и требованиями, а также положениями [</w:t>
      </w:r>
      <w:r>
        <w:rPr/>
        <w:fldChar w:fldCharType="begin"/>
      </w:r>
      <w:r>
        <w:rPr/>
        <w:instrText xml:space="preserve"> REF _Ref156942173 \n \h </w:instrText>
      </w:r>
      <w:r>
        <w:rPr/>
        <w:fldChar w:fldCharType="separate"/>
      </w:r>
      <w:r>
        <w:rPr/>
        <w:t>24</w:t>
      </w:r>
      <w:r>
        <w:rPr/>
        <w:fldChar w:fldCharType="end"/>
      </w:r>
      <w:r>
        <w:rPr/>
        <w:t xml:space="preserve">] статусом гарантирующей организации в сфере водоснабжения на территории Беловского ГО наделены: </w:t>
      </w:r>
    </w:p>
    <w:p>
      <w:pPr>
        <w:pStyle w:val="Style31"/>
        <w:numPr>
          <w:ilvl w:val="0"/>
          <w:numId w:val="110"/>
        </w:numPr>
        <w:rPr/>
      </w:pPr>
      <w:r>
        <w:rPr/>
        <w:t>ООО «Водоснабжение» в административных границах центральной части г. Белово, мкр. Старо-Белово, пгт. Инской, мкр. Бабанаково, мкр. 8 Марта, мкр. Чертинский, пгт. Новый Городок и с. Заречное;</w:t>
      </w:r>
    </w:p>
    <w:p>
      <w:pPr>
        <w:pStyle w:val="Style31"/>
        <w:numPr>
          <w:ilvl w:val="0"/>
          <w:numId w:val="2"/>
        </w:numPr>
        <w:rPr/>
      </w:pPr>
      <w:r>
        <w:rPr/>
        <w:t>МУП «Водоканал» в административных границах пгт. Грамотеино, д. Грамотеино и котельной № 10 по ул. Полярная № 3 северного промузла г. Белово;</w:t>
      </w:r>
    </w:p>
    <w:p>
      <w:pPr>
        <w:pStyle w:val="Style31"/>
        <w:numPr>
          <w:ilvl w:val="0"/>
          <w:numId w:val="2"/>
        </w:numPr>
        <w:rPr/>
      </w:pPr>
      <w:r>
        <w:rPr/>
        <w:t xml:space="preserve">ООО «ЭК» в административных границах пгт. Бачатский и мкр. Финский. </w:t>
      </w:r>
    </w:p>
    <w:p>
      <w:pPr>
        <w:pStyle w:val="Normal"/>
        <w:rPr/>
      </w:pPr>
      <w:r>
        <w:rPr/>
      </w:r>
    </w:p>
    <w:p>
      <w:pPr>
        <w:pStyle w:val="2"/>
        <w:rPr/>
      </w:pPr>
      <w:bookmarkStart w:id="91" w:name="_Предложения_по_строительству,"/>
      <w:bookmarkStart w:id="92" w:name="_Toc158814584"/>
      <w:bookmarkEnd w:id="91"/>
      <w:r>
        <w:rPr/>
        <w:t>Предложения по строительству, реконструкции и модернизации объектов централизованных систем водоснабжения</w:t>
      </w:r>
      <w:bookmarkEnd w:id="92"/>
    </w:p>
    <w:p>
      <w:pPr>
        <w:pStyle w:val="3"/>
        <w:rPr/>
      </w:pPr>
      <w:bookmarkStart w:id="93" w:name="_Toc158814585"/>
      <w:r>
        <w:rPr/>
        <w:t>Перечень основных мероприятий по реализации схем водоснабжения с разбивкой по годам</w:t>
      </w:r>
      <w:bookmarkEnd w:id="93"/>
    </w:p>
    <w:p>
      <w:pPr>
        <w:pStyle w:val="Normal"/>
        <w:rPr/>
      </w:pPr>
      <w:r>
        <w:rPr/>
        <w:t xml:space="preserve">Перечень основных мероприятий по реализации схем водоснабжения приоритетного сценария развития ЦС ХВС Беловского ГО с разбивкой по годам приведен в таблице </w:t>
      </w:r>
      <w:r>
        <w:rPr/>
        <w:fldChar w:fldCharType="begin"/>
      </w:r>
      <w:r>
        <w:rPr/>
        <w:instrText xml:space="preserve"> REF _Ref156964444 \h </w:instrText>
      </w:r>
      <w:r>
        <w:rPr/>
        <w:fldChar w:fldCharType="separate"/>
      </w:r>
      <w:r>
        <w:rPr/>
        <w:t>Таблица 1.4.20</w:t>
      </w:r>
      <w:r>
        <w:rPr/>
        <w:fldChar w:fldCharType="end"/>
      </w:r>
      <w:r>
        <w:rPr/>
        <w:t xml:space="preserve">. </w:t>
      </w:r>
    </w:p>
    <w:p>
      <w:pPr>
        <w:pStyle w:val="Style34"/>
        <w:rPr/>
      </w:pPr>
      <w:bookmarkStart w:id="94" w:name="_Ref156964444"/>
      <w:r>
        <w:rPr/>
        <w:t xml:space="preserve">Таблица </w:t>
      </w:r>
      <w:r>
        <w:fldChar w:fldCharType="begin"/>
      </w:r>
      <w:r>
        <w:rPr/>
        <w:instrText xml:space="preserve">STYLEREF 2 \s</w:instrText>
      </w:r>
      <w:r>
        <w:rPr/>
      </w:r>
      <w:r>
        <w:rPr/>
        <w:fldChar w:fldCharType="separate"/>
      </w:r>
      <w:r>
        <w:rPr/>
        <w:t>1.4</w:t>
      </w:r>
      <w:r>
        <w:rPr/>
      </w:r>
      <w:r>
        <w:rPr/>
        <w:fldChar w:fldCharType="end"/>
      </w:r>
      <w:r>
        <w:rPr/>
        <w:t>.</w:t>
      </w:r>
      <w:r>
        <w:rPr/>
        <w:fldChar w:fldCharType="begin"/>
      </w:r>
      <w:r>
        <w:rPr/>
        <w:instrText xml:space="preserve"> SEQ Таблица \* ARABIC </w:instrText>
      </w:r>
      <w:r>
        <w:rPr/>
        <w:fldChar w:fldCharType="separate"/>
      </w:r>
      <w:r>
        <w:rPr/>
        <w:t>20</w:t>
      </w:r>
      <w:r>
        <w:rPr/>
        <w:fldChar w:fldCharType="end"/>
      </w:r>
      <w:bookmarkEnd w:id="94"/>
      <w:r>
        <w:rPr/>
        <w:t xml:space="preserve"> – Перечень основных мероприятий по реализации схем водоснабжения приоритетного сценария развития ЦС ХВС Беловского ГО с разбивкой по годам</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22"/>
        <w:gridCol w:w="6513"/>
        <w:gridCol w:w="1135"/>
        <w:gridCol w:w="1184"/>
      </w:tblGrid>
      <w:tr>
        <w:trPr>
          <w:tblHeader w:val="true"/>
          <w:trHeight w:val="470" w:hRule="atLeast"/>
        </w:trPr>
        <w:tc>
          <w:tcPr>
            <w:tcW w:w="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65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11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Начало реализации</w:t>
            </w:r>
          </w:p>
        </w:tc>
        <w:tc>
          <w:tcPr>
            <w:tcW w:w="11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Окончание реализации</w:t>
            </w:r>
          </w:p>
        </w:tc>
      </w:tr>
      <w:tr>
        <w:trPr>
          <w:tblHeader w:val="true"/>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объекта «Внутриквартальные сети водоснабжения, хозфекальной канализации квартала «Сосновый», Кемеровская область, Беловский городской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7 до ВК-4523 до места установки пожарного гидранта у дома № 22, 874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Гражданская от дома № 12 до ВК-4531 до места установки пожарного гидранта у дома № 14 ВК-5312, 216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2 до ВК-5275 до дома № 6 ВК-4527, 130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Железнодорожной от дома № 40 до ВК-5811 до дома № 56 ВК-5506, 410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по ул. Октябрьской от дома № 41 ВК-5141 до ВК4493 на пересечении с ул. Юности, 510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в 3 мкр. от ВК-5635 до дома № 14 до ВК-5638, 180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перемычки между левой и правой ниткой водоводов от гидроузла № 7 до гидроузла № 3 от ВК-5480 у дома № 69 по ул. Советской до ВК-4995 у дома № 18 по ул. Юбилейной, 583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на участке трубопровода Ду=326 мм от ВК-4776 у д. № 124 по ул.Ленина до пер.Советский (ВК-4963) с увеличением диаметра до 400 мм, 1 270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(левая нитка) пер. Советский от ул. Октябрьская (ВК-4963) до ул. 1 Мая (ВК-3556) и по ул. 1 Мая до пер. Банковский (ВК-3134) с увеличением диаметра до 400 мм, 1 660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Ду=400 мм (левая нитка) от пер. Банковский (ВК-3134) до гидроузла № 3 с увеличением диаметра, 1 090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1 272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2 505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от скважины 9, 11, 27, 3 до насосной станции подкачки № 3, 699 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гидроузла № 2 в сторону гидроузла № 7 с переходом через р. Уроп, протяженностью 1 300 м, Кемеровская область – Кузбасс</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в 1 500 м от реки Черновой Уроп до реконструированного участка на 12 км, протяжѐнностью 2 508 м, Кемеровская область – Кузбасс, Беловский муниципальный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водопровода Ду 400 (левая нитка), участок по ул. Октябрьская от железнодорождных путей (ВК-4777) до пер. Советский (ВК-4963)</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магистрального водопровода Ду 400 мм от остановки "Поворот на пос. Старо-Белово" (ВК-4345) по ул. Озерная до пер. Пионерский (ВК-4819)</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колодца у после перехода через автодорогу I категории «Ленинск – Кузнецкий - Новокузнецк» до врезки магистрального водопровода на пгт. Инской, протяженностью 1 443 м, Кемеровская область –Кузбасс, Беловский городской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объекта: «Водоснабжение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магистрального водовода на 4 км в сторону г/у №2 с переходом через ручей Менчереп, протяженностью L=1 500 м, с обустройством дюкера. Кемеровская область - Кузбасс, Беловский муниципальный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насосно-фильтровальной станции очистки воды в пгт. Инской</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Демонтаж участков водопроводной сети, в т.ч.: </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(L=112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Калинина (L=350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Орджоникидзе (L=330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(L=270 м, Ду=80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Советская (L=450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Матросова (L=640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Пионерская (L=640 м, Ду=50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22.8</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1 до ул. Пионерская (L=85 м, Ду=80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22.9</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до ул. Орджоникидзе (L=640 м, Ду=200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22.10</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Спортивная до ул. Шевцова 22а (L=425 м, Ду=80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Шевцова 22а до ул. Зеленовского (L=2100 м, Ду=400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Инском водозаборе</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Внедрение АСУТП</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Бунгарапском месторождении</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НСП № 3 до НС II-водоподъема "Худяки" (2-я нитка) (L=9750 м, Ду=600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 II- водоподъема "Худяки" до гидроузла № 2 (2-я нитка) (L=13000 м, Ду=530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водоводов от дополнительных водозаборных скважин на Бунгарапском месторождении до проектируемой НСП № 4 (L=8600 м, Ду=400 мм, L=8600 м, Ду=300 мм, L=8600 м, Ду=110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двух ниток водовода от проектируемой НСП № 4 до НСП № 3 (L=1762 м, Ду=500 мм, L=27438 м, Ду=400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гидроузла № 7 до гидроузла № 5 (L=24393 м, Ду=500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ВК-89 до пгт. Инской (L=3565 м, Ду=300 мм)</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ООО "Водоснабжение"</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МУП "Водоканал"</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Установка регуляторов давления</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водопровода от дома №35 до дома №48 по ул. Советской, Кемеровская область-Кузбасс, Беловский городской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уличных сетей водопровода по ул. Южная, ул. Пархоменко, ул. Енисейская, ул. Крестьянская, ул. Омская, ул. Волжская, ул. Энтузиастов, ул. Физкультурная, ул. Аграрная Ду-110 мм, Ду-75 мм, Ду-63 мм, Lобщ=4858 м. в микрорайоне Чертинский, Беловский городской округ</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Мероприятия на водопроводных сетях в районе Старо-Белово, в т.ч.:</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Ду=100 мм протяженностью 252,32 м от т. 1 до т. 3 (организация нового ввода в район)</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37.2</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82,44 м от т. 6 до т. 7 (организация нового ввода в район)</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36,44 м от т. 4 до т. 5 (организация нового ввода в район)</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37.4</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52,71 м от т. 8 до т. 9 (организация кольца)</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16,69 м от т. 10 до т. 14 (организация кольца)</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37.6</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72,35 м на трубопровод Ду=100 мм от т. 12 до т. 13 (увеличение пропускной способности существующего ввода в район)</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37.7</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79,42 м на трубопровод Ду=80 мм от т. 10 до т. 12 (увеличение пропускной способности существующего трубопровода)</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r>
      <w:tr>
        <w:trPr>
          <w:trHeight w:val="20" w:hRule="atLeast"/>
        </w:trPr>
        <w:tc>
          <w:tcPr>
            <w:tcW w:w="52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65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Перевод гидроузлов №№ 2, 7, 3, 5 на схему эл. снабжения 1 категории</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118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r>
    </w:tbl>
    <w:p>
      <w:pPr>
        <w:pStyle w:val="3"/>
        <w:rPr/>
      </w:pPr>
      <w:bookmarkStart w:id="95" w:name="_Toc158814586"/>
      <w:r>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95"/>
    </w:p>
    <w:p>
      <w:pPr>
        <w:pStyle w:val="Normal"/>
        <w:rPr/>
      </w:pPr>
      <w:r>
        <w:rPr/>
        <w:t xml:space="preserve">Технические обоснования основных мероприятий по реализации схем водоснабжения приоритетного сценария развития ЦС ХВС Беловского ГО представлены в таблице </w:t>
      </w:r>
      <w:r>
        <w:rPr/>
        <w:fldChar w:fldCharType="begin"/>
      </w:r>
      <w:r>
        <w:rPr/>
        <w:instrText xml:space="preserve"> REF _Ref156964542 \h </w:instrText>
      </w:r>
      <w:r>
        <w:rPr/>
        <w:fldChar w:fldCharType="separate"/>
      </w:r>
      <w:r>
        <w:rPr/>
        <w:t>Таблица 1.4.21</w:t>
      </w:r>
      <w:r>
        <w:rPr/>
        <w:fldChar w:fldCharType="end"/>
      </w:r>
      <w:r>
        <w:rPr/>
        <w:t xml:space="preserve">. </w:t>
      </w:r>
    </w:p>
    <w:p>
      <w:pPr>
        <w:pStyle w:val="Style34"/>
        <w:rPr/>
      </w:pPr>
      <w:bookmarkStart w:id="96" w:name="_Ref156964542"/>
      <w:r>
        <w:rPr/>
        <w:t xml:space="preserve">Таблица </w:t>
      </w:r>
      <w:r>
        <w:fldChar w:fldCharType="begin"/>
      </w:r>
      <w:r>
        <w:rPr/>
        <w:instrText xml:space="preserve">STYLEREF 2 \s</w:instrText>
      </w:r>
      <w:r>
        <w:rPr/>
      </w:r>
      <w:r>
        <w:rPr/>
        <w:fldChar w:fldCharType="separate"/>
      </w:r>
      <w:r>
        <w:rPr/>
        <w:t>1.4</w:t>
      </w:r>
      <w:r>
        <w:rPr/>
      </w:r>
      <w:r>
        <w:rPr/>
        <w:fldChar w:fldCharType="end"/>
      </w:r>
      <w:r>
        <w:rPr/>
        <w:t>.</w:t>
      </w:r>
      <w:r>
        <w:rPr/>
        <w:fldChar w:fldCharType="begin"/>
      </w:r>
      <w:r>
        <w:rPr/>
        <w:instrText xml:space="preserve"> SEQ Таблица \* ARABIC </w:instrText>
      </w:r>
      <w:r>
        <w:rPr/>
        <w:fldChar w:fldCharType="separate"/>
      </w:r>
      <w:r>
        <w:rPr/>
        <w:t>21</w:t>
      </w:r>
      <w:r>
        <w:rPr/>
        <w:fldChar w:fldCharType="end"/>
      </w:r>
      <w:bookmarkEnd w:id="96"/>
      <w:r>
        <w:rPr/>
        <w:t xml:space="preserve"> – Технические обоснования основных мероприятий по реализации схем водоснабжения приоритетного сценария развития ЦС ХВС Беловского ГО</w:t>
      </w:r>
    </w:p>
    <w:tbl>
      <w:tblPr>
        <w:tblW w:w="5000" w:type="pct"/>
        <w:jc w:val="left"/>
        <w:tblInd w:w="0" w:type="dxa"/>
        <w:tblLayout w:type="fixed"/>
        <w:tblCellMar>
          <w:top w:w="0" w:type="dxa"/>
          <w:left w:w="108" w:type="dxa"/>
          <w:bottom w:w="0" w:type="dxa"/>
          <w:right w:w="108" w:type="dxa"/>
        </w:tblCellMar>
        <w:tblLook w:noVBand="1" w:val="04a0" w:noHBand="0" w:lastColumn="0" w:firstColumn="1" w:lastRow="0" w:firstRow="1"/>
      </w:tblPr>
      <w:tblGrid>
        <w:gridCol w:w="679"/>
        <w:gridCol w:w="5500"/>
        <w:gridCol w:w="3176"/>
      </w:tblGrid>
      <w:tr>
        <w:trPr>
          <w:tblHeader w:val="true"/>
          <w:trHeight w:val="470" w:hRule="atLeast"/>
        </w:trPr>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55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3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Техническое обоснование</w:t>
            </w:r>
          </w:p>
        </w:tc>
      </w:tr>
      <w:tr>
        <w:trPr>
          <w:tblHeader w:val="true"/>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объекта «Внутриквартальные сети водоснабжения, хозфекальной канализации квартала «Сосновый», Кемеровская область, Беловский городской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водоснабжения объектов перспективной застройки населенного пункта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7 до ВК-4523 до места установки пожарного гидранта у дома № 22, 874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Гражданская от дома № 12 до ВК-4531 до места установки пожарного гидранта у дома № 14 ВК-5312, 216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2 до ВК-5275 до дома № 6 ВК-4527, 130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Железнодорожной от дома № 40 до ВК-5811 до дома № 56 ВК-5506, 410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по ул. Октябрьской от дома № 41 ВК-5141 до ВК4493 на пересечении с ул. Юности, 510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в 3 мкр. от ВК-5635 до дома № 14 до ВК-5638, 180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перемычки между левой и правой ниткой водоводов от гидроузла № 7 до гидроузла № 3 от ВК-5480 у дома № 69 по ул. Советской до ВК-4995 у дома № 18 по ул. Юбилейной, 583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на участке трубопровода Ду=326 мм от ВК-4776 у д. № 124 по ул.Ленина до пер.Советский (ВК-4963) с увеличением диаметра до 400 мм, 1 270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(левая нитка) пер. Советский от ул. Октябрьская (ВК-4963) до ул. 1 Мая (ВК-3556) и по ул. 1 Мая до пер. Банковский (ВК-3134) с увеличением диаметра до 400 мм, 1 660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Ду=400 мм (левая нитка) от пер. Банковский (ВК-3134) до гидроузла № 3 с увеличением диаметра, 1 090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1 272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2 505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от скважины 9, 11, 27, 3 до насосной станции подкачки № 3, 699 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гидроузла № 2 в сторону гидроузла № 7 с переходом через р. Уроп, протяженностью 1 300 м, Кемеровская область – Кузбасс</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в 1 500 м от реки Черновой Уроп до реконструированного участка на 12 км, протяжѐнностью 2 508 м, Кемеровская область – Кузбасс, Беловский муниципальный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водопровода Ду 400 (левая нитка), участок по ул. Октябрьская от железнодорождных путей (ВК-4777) до пер. Советский (ВК-4963)</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магистрального водопровода Ду 400 мм от остановки "Поворот на пос. Старо-Белово" (ВК-4345) по ул. Озерная до пер. Пионерский (ВК-4819)</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колодца у после перехода через автодорогу I категории «Ленинск – Кузнецкий - Новокузнецк» до врезки магистрального водопровода на пгт. Инской, протяженностью 1 443 м, Кемеровская область –Кузбасс, Беловский городской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объекта: «Водоснабжение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магистрального водовода на 4 км в сторону г/у №2 с переходом через ручей Менчереп, протяженностью L=1 500 м, с обустройством дюкера. Кемеровская область - Кузбасс, Беловский муниципальный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насосно-фильтровальной станции очистки воды в пгт. Инской</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Выполнение мероприятий, направленных на обеспечение соответствия качества питьевой воды, горячей воды требованиям законодательства Российской Федерации</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Демонтаж участков водопроводной сети, в т.ч.: </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(L=112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Калинина (L=350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Орджоникидзе (L=330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(L=270 м, Ду=80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Советская (L=450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Матросова (L=640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Пионерская (L=640 м, Ду=50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22.8</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1 до ул. Пионерская (L=85 м, Ду=80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22.9</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до ул. Орджоникидзе (L=640 м, Ду=200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22.10</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Спортивная до ул. Шевцова 22а (L=425 м, Ду=80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Шевцова 22а до ул. Зеленовского (L=2100 м, Ду=400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Инском водозаборе</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Внедрение АСУТП</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Бунгарапском месторождении</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НСП № 3 до НС II-водоподъема "Худяки" (2-я нитка) (L=9750 м, Ду=600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 II- водоподъема "Худяки" до гидроузла № 2 (2-я нитка) (L=13000 м, Ду=530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водоводов от дополнительных водозаборных скважин на Бунгарапском месторождении до проектируемой НСП № 4 (L=8600 м, Ду=400 мм, L=8600 м, Ду=300 мм, L=8600 м, Ду=110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двух ниток водовода от проектируемой НСП № 4 до НСП № 3 (L=1762 м, Ду=500 мм, L=27438 м, Ду=400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гидроузла № 7 до гидроузла № 5 (L=24393 м, Ду=500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ВК-89 до пгт. Инской (L=3565 м, Ду=300 мм)</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ООО "Водоснабжение"</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МУП "Водоканал"</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Установка регуляторов давления</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водопровода от дома №35 до дома №48 по ул. Советской, Кемеровская область-Кузбасс, Беловский городской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уличных сетей водопровода по ул. Южная, ул. Пархоменко, ул. Енисейская, ул. Крестьянская, ул. Омская, ул. Волжская, ул. Энтузиастов, ул. Физкультурная, ул. Аграрная Ду-110 мм, Ду-75 мм, Ду-63 мм, Lобщ=4858 м. в микрорайоне Чертинский, Беловский городской округ</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Мероприятия на водопроводных сетях в районе Старо-Белово, в т.ч.:</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Ду=100 мм протяженностью 252,32 м от т. 1 до т. 3 (организация нового ввода в район)</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37.2</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82,44 м от т. 6 до т. 7 (организация нового ввода в район)</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36,44 м от т. 4 до т. 5 (организация нового ввода в район)</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37.4</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52,71 м от т. 8 до т. 9 (организация кольца)</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16,69 м от т. 10 до т. 14 (организация кольца)</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37.6</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72,35 м на трубопровод Ду=100 мм от т. 12 до т. 13 (увеличение пропускной способности существующего ввода в район)</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37.7</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79,42 м на трубопровод Ду=80 мм от т. 10 до т. 12 (увеличение пропускной способности существующего трубопровода)</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То же</w:t>
            </w:r>
          </w:p>
        </w:tc>
      </w:tr>
      <w:tr>
        <w:trPr>
          <w:trHeight w:val="20" w:hRule="atLeast"/>
        </w:trPr>
        <w:tc>
          <w:tcPr>
            <w:tcW w:w="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55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Перевод гидроузлов №№ 2, 7, 3, 5 на схему эл. снабжения 1 категории</w:t>
            </w:r>
          </w:p>
        </w:tc>
        <w:tc>
          <w:tcPr>
            <w:tcW w:w="31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Обеспечение надежности энергоснабжения объектов водоснабжения</w:t>
            </w:r>
          </w:p>
        </w:tc>
      </w:tr>
    </w:tbl>
    <w:p>
      <w:pPr>
        <w:pStyle w:val="3"/>
        <w:rPr/>
      </w:pPr>
      <w:bookmarkStart w:id="97" w:name="_Toc158814587"/>
      <w:r>
        <w:rPr/>
        <w:t>Сведения о вновь строящихся, реконструируемых и предлагаемых к выводу из эксплуатации объектах системы водоснабжения</w:t>
      </w:r>
      <w:bookmarkEnd w:id="97"/>
    </w:p>
    <w:p>
      <w:pPr>
        <w:pStyle w:val="Normal"/>
        <w:rPr/>
      </w:pPr>
      <w:r>
        <w:rPr/>
        <w:t xml:space="preserve">Сведения о вновь строящихся, реконструируемых и предлагаемых к выводу из эксплуатации объектах системы водоснабжения по приоритетному сценарию развития ЦС ХВС Беловского ГО приведены в таблице </w:t>
      </w:r>
      <w:r>
        <w:rPr/>
        <w:fldChar w:fldCharType="begin"/>
      </w:r>
      <w:r>
        <w:rPr/>
        <w:instrText xml:space="preserve"> REF _Ref156964696 \h </w:instrText>
      </w:r>
      <w:r>
        <w:rPr/>
        <w:fldChar w:fldCharType="separate"/>
      </w:r>
      <w:r>
        <w:rPr/>
        <w:t>Таблица 1.4.22</w:t>
      </w:r>
      <w:r>
        <w:rPr/>
        <w:fldChar w:fldCharType="end"/>
      </w:r>
      <w:r>
        <w:rPr/>
        <w:t xml:space="preserve">. </w:t>
      </w:r>
    </w:p>
    <w:p>
      <w:pPr>
        <w:pStyle w:val="Style34"/>
        <w:rPr/>
      </w:pPr>
      <w:bookmarkStart w:id="98" w:name="_Ref156964696"/>
      <w:r>
        <w:rPr/>
        <w:t xml:space="preserve">Таблица </w:t>
      </w:r>
      <w:r>
        <w:fldChar w:fldCharType="begin"/>
      </w:r>
      <w:r>
        <w:rPr/>
        <w:instrText xml:space="preserve">STYLEREF 2 \s</w:instrText>
      </w:r>
      <w:r>
        <w:rPr/>
      </w:r>
      <w:r>
        <w:rPr/>
        <w:fldChar w:fldCharType="separate"/>
      </w:r>
      <w:r>
        <w:rPr/>
        <w:t>1.4</w:t>
      </w:r>
      <w:r>
        <w:rPr/>
      </w:r>
      <w:r>
        <w:rPr/>
        <w:fldChar w:fldCharType="end"/>
      </w:r>
      <w:r>
        <w:rPr/>
        <w:t>.</w:t>
      </w:r>
      <w:r>
        <w:rPr/>
        <w:fldChar w:fldCharType="begin"/>
      </w:r>
      <w:r>
        <w:rPr/>
        <w:instrText xml:space="preserve"> SEQ Таблица \* ARABIC </w:instrText>
      </w:r>
      <w:r>
        <w:rPr/>
        <w:fldChar w:fldCharType="separate"/>
      </w:r>
      <w:r>
        <w:rPr/>
        <w:t>22</w:t>
      </w:r>
      <w:r>
        <w:rPr/>
        <w:fldChar w:fldCharType="end"/>
      </w:r>
      <w:bookmarkEnd w:id="98"/>
      <w:r>
        <w:rPr/>
        <w:t xml:space="preserve"> – Сведения о вновь строящихся, реконструируемых и предлагаемых к выводу из эксплуатации объектах системы водоснабжения по приоритетному сценарию развития ЦС ХВС Беловского ГО</w:t>
      </w:r>
    </w:p>
    <w:tbl>
      <w:tblPr>
        <w:tblW w:w="5000" w:type="pct"/>
        <w:jc w:val="left"/>
        <w:tblInd w:w="0" w:type="dxa"/>
        <w:tblLayout w:type="fixed"/>
        <w:tblCellMar>
          <w:top w:w="0" w:type="dxa"/>
          <w:left w:w="108" w:type="dxa"/>
          <w:bottom w:w="0" w:type="dxa"/>
          <w:right w:w="108" w:type="dxa"/>
        </w:tblCellMar>
        <w:tblLook w:noVBand="1" w:val="04a0" w:noHBand="0" w:lastColumn="0" w:firstColumn="1" w:lastRow="0" w:firstRow="1"/>
      </w:tblPr>
      <w:tblGrid>
        <w:gridCol w:w="676"/>
        <w:gridCol w:w="4413"/>
        <w:gridCol w:w="1067"/>
        <w:gridCol w:w="1066"/>
        <w:gridCol w:w="1066"/>
        <w:gridCol w:w="1066"/>
      </w:tblGrid>
      <w:tr>
        <w:trPr>
          <w:tblHeader w:val="true"/>
          <w:trHeight w:val="20" w:hRule="atLeast"/>
        </w:trPr>
        <w:tc>
          <w:tcPr>
            <w:tcW w:w="6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4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4265"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Основные технические характеристики объекта водоснабжения после реализации мероприятия</w:t>
            </w:r>
          </w:p>
        </w:tc>
      </w:tr>
      <w:tr>
        <w:trPr>
          <w:tblHeader w:val="true"/>
          <w:trHeight w:val="20" w:hRule="atLeast"/>
        </w:trPr>
        <w:tc>
          <w:tcPr>
            <w:tcW w:w="67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413"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val="en-US" w:eastAsia="ru-RU"/>
              </w:rPr>
              <w:t>L</w:t>
            </w:r>
            <w:r>
              <w:rPr>
                <w:rFonts w:eastAsia="Times New Roman" w:cs="Times New Roman"/>
                <w:color w:val="000000"/>
                <w:sz w:val="20"/>
                <w:szCs w:val="20"/>
                <w:lang w:eastAsia="ru-RU"/>
              </w:rPr>
              <w:t>, м</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Ду, мм</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val="en-US" w:eastAsia="ru-RU"/>
              </w:rPr>
              <w:t>Q</w:t>
            </w:r>
            <w:r>
              <w:rPr>
                <w:rFonts w:eastAsia="Times New Roman" w:cs="Times New Roman"/>
                <w:color w:val="000000"/>
                <w:sz w:val="20"/>
                <w:szCs w:val="20"/>
                <w:lang w:eastAsia="ru-RU"/>
              </w:rPr>
              <w:t>,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иное</w:t>
            </w:r>
          </w:p>
        </w:tc>
      </w:tr>
      <w:tr>
        <w:trPr>
          <w:tblHeader w:val="true"/>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объекта «Внутриквартальные сети водоснабжения, хозфекальной канализации квартала «Сосновый», Кемеровская область, Беловский городской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56,44</w:t>
              <w:br/>
              <w:t>326,32</w:t>
              <w:br/>
              <w:t>1130,90</w:t>
              <w:br/>
              <w:t>532,08</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br/>
              <w:t>80</w:t>
              <w:br/>
              <w:t>100</w:t>
              <w:br/>
              <w:t>150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7 до ВК-4523 до места установки пожарного гидранта у дома № 22, 874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874</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Гражданская от дома № 12 до ВК-4531 до места установки пожарного гидранта у дома № 14 ВК-5312, 216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216</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Тухачевского от дома № 2 до ВК-5275 до дома № 6 ВК-4527, 130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водовода по ул. Железнодорожной от дома № 40 до ВК-5811 до дома № 56 ВК-5506, 410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по ул. Октябрьской от дома № 41 ВК-5141 до ВК4493 на пересечении с ул. Юности, 510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в 3 мкр. от ВК-5635 до дома № 14 до ВК-5638, 180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перемычки между левой и правой ниткой водоводов от гидроузла № 7 до гидроузла № 3 от ВК-5480 у дома № 69 по ул. Советской до ВК-4995 у дома № 18 по ул. Юбилейной, 583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583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на участке трубопровода Ду=326 мм от ВК-4776 у д. № 124 по ул.Ленина до пер.Советский (ВК-4963) с увеличением диаметра до 400 мм, 1 270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1 270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(левая нитка) пер. Советский от ул. Октябрьская (ВК-4963) до ул. 1 Мая (ВК-3556) и по ул. 1 Мая до пер. Банковский (ВК-3134) с увеличением диаметра до 400 мм, 1 660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1 660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водовода Ду=400 мм (левая нитка) от пер. Банковский (ВК-3134) до гидроузла № 3 с увеличением диаметра, 1 090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1 090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1 272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1 272</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скважины 1ц, 1цр, 3ц до насосной станции подкачки, 2 505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2 505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участка водовода от скважины 9, 11, 27, 3 до насосной станции подкачки № 3, 699 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699</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гидроузла № 2 в сторону гидроузла № 7 с переходом через р. Уроп, протяженностью 1 300 м, Кемеровская область – Кузбасс</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1 300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в 1 500 м от реки Черновой Уроп до реконструированного участка на 12 км, протяжѐнностью 2 508 м, Кемеровская область – Кузбасс, Беловский муниципальный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2 508</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сетей магистрального водопровода Ду 400 (левая нитка), участок по ул. Октябрьская от железнодорождных путей (ВК-4777) до пер. Советский (ВК-4963)</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1 270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магистрального водопровода Ду 400 мм от остановки "Поворот на пос. Старо-Белово" (ВК-4345) по ул. Озерная до пер. Пионерский (ВК-4819)</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3 084</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Водоснабжение п. Уроп. Кадастровый номер 42:01:0000000:1128. Магистральный водопровод (Ду=700 мм) от гидроузла № 2 до гидроузла № 7 на участке: от колодца у после перехода через автодорогу I категории «Ленинск – Кузнецкий - Новокузнецк» до врезки магистрального водопровода на пгт. Инской, протяженностью 1 443 м, Кемеровская область –Кузбасс, Беловский городской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1 443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объекта: «Водоснабжение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магистрального водовода на 4 км в сторону г/у №2 с переходом через ручей Менчереп, протяженностью L=1 500 м, с обустройством дюкера. Кемеровская область - Кузбасс, Беловский муниципальный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1 500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насосно-фильтровальной станции очистки воды в пгт. Инской</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Опред. на стад. проектир.</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 xml:space="preserve">Демонтаж участков водопроводной сети, в т.ч.: </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(L=112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Калинина (L=350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Орджоникидзе (L=330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Фрунзе (L=270 м, Ду=80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Советская (L=450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Матросова (L=640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640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по ул. Пионерская (L=640 м, Ду=50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640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22.8</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1 до ул. Пионерская (L=85 м, Ду=80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22.9</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Комсомольская до ул. Орджоникидзе (L=640 м, Ду=200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640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22.10</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Спортивная до ул. Шевцова 22а (L=425 м, Ду=80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Участок водопроводной сети от ул. Шевцова 22а до ул. Зеленовского (L=2100 м, Ду=400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Инском водозаборе</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5 000,0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Внедрение АСУТП</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Комплект оборуд.</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Бурение дополнительных водозаборных скважин на Бунгарапском месторождении</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9 000,0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НСП № 3 до НС II-водоподъема "Худяки" (2-я нитка) (L=9750 м, Ду=600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9 750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водовода от НС II- водоподъема "Худяки" до гидроузла № 2 (2-я нитка) (L=13000 м, Ду=530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13 000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28</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водоводов от дополнительных водозаборных скважин на Бунгарапском месторождении до проектируемой НСП № 4 (L=8600 м, Ду=400 мм, L=8600 м, Ду=300 мм, L=8600 м, Ду=110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8600×3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 300; 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двух ниток водовода от проектируемой НСП № 4 до НСП № 3 (L=1762 м, Ду=500 мм, L=27438 м, Ду=400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1 762;</w:t>
              <w:br/>
              <w:t>27 438</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br/>
              <w:t>400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гидроузла № 7 до гидроузла № 5 (L=24393 м, Ду=500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24 393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резервного водовода от ВК-89 до пгт. Инской (L=3565 м, Ду=300 мм)</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3 565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ООО "Водоснабжение"</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130 650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Без изм.</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Реконструкция ветхих и аварийных водопроводных сетей, выработавших свой срок службы в 2024–2036 гг. МУП "Водоканал"</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25 360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Без изм.</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Установка регуляторов давления</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Комплект оборуд.</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водопровода от дома №35 до дома №48 по ул. Советской, Кемеровская область-Кузбасс, Беловский городской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256,8</w:t>
              <w:br/>
              <w:t>86,4</w:t>
              <w:br/>
              <w:t>83</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w:t>
              <w:br/>
              <w:t>100</w:t>
              <w:b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Капитальный ремонт уличных сетей водопровода по ул. Южная, ул. Пархоменко, ул. Енисейская, ул. Крестьянская, ул. Омская, ул. Волжская, ул. Энтузиастов, ул. Физкультурная, ул. Аграрная Ду-110 мм, Ду-75 мм, Ду-63 мм, Lобщ=4858 м. в микрорайоне Чертинский, Беловский городской округ</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4 858</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Мероприятия на водопроводных сетях в районе Старо-Белово, в т.ч.:</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37.1</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Ду=100 мм протяженностью 252,32 м от т. 1 до т. 3 (организация нового ввода в район)</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252,32</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37.2</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82,44 м от т. 6 до т. 7 (организация нового ввода в район)</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82,44</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37.3</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36,44 м от т. 4 до т. 5 (организация нового ввода в район)</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36,44</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37.4</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52,71 м от т. 8 до т. 9 (организация кольца)</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52,71</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37.5</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Строительство трубопровода Ду=50 мм протяженностью 16,69 м от т. 10 до т. 14 (организация кольца)</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16,69</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37.6</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72,35 м на трубопровод Ду=100 мм от т. 12 до т. 13 (увеличение пропускной способности существующего ввода в район)</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72,35</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37.7</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Замена трубопровода Ду=50 мм протяженностью 79,42 м на трубопровод Ду=80 мм от т. 10 до т. 12 (увеличение пропускной способности существующего трубопровода)</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79,42</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67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44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Перевод гидроузлов №№ 2, 7, 3, 5 на схему эл. снабжения 1 категории</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Без изм.</w:t>
            </w:r>
          </w:p>
        </w:tc>
        <w:tc>
          <w:tcPr>
            <w:tcW w:w="10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bl>
    <w:p>
      <w:pPr>
        <w:pStyle w:val="3"/>
        <w:rPr/>
      </w:pPr>
      <w:bookmarkStart w:id="99" w:name="_Toc158814588"/>
      <w:r>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99"/>
    </w:p>
    <w:p>
      <w:pPr>
        <w:pStyle w:val="Normal"/>
        <w:rPr/>
      </w:pPr>
      <w:r>
        <w:rPr/>
        <w:t>К числу основных особенностей централизованных систем водоснабжения, как объектов автоматизации, относятся:</w:t>
      </w:r>
    </w:p>
    <w:p>
      <w:pPr>
        <w:pStyle w:val="Style31"/>
        <w:numPr>
          <w:ilvl w:val="0"/>
          <w:numId w:val="111"/>
        </w:numPr>
        <w:rPr/>
      </w:pPr>
      <w:r>
        <w:rPr/>
        <w:t>высокая степень ответственности работы сооружений, требующая обеспечения их надежной бесперебойной работы;</w:t>
      </w:r>
    </w:p>
    <w:p>
      <w:pPr>
        <w:pStyle w:val="Style31"/>
        <w:numPr>
          <w:ilvl w:val="0"/>
          <w:numId w:val="2"/>
        </w:numPr>
        <w:rPr/>
      </w:pPr>
      <w:r>
        <w:rPr/>
        <w:t>работа сооружений в условиях постоянно меняющейся нагрузки;</w:t>
      </w:r>
    </w:p>
    <w:p>
      <w:pPr>
        <w:pStyle w:val="Style31"/>
        <w:numPr>
          <w:ilvl w:val="0"/>
          <w:numId w:val="2"/>
        </w:numPr>
        <w:rPr/>
      </w:pPr>
      <w:r>
        <w:rPr/>
        <w:t>зависимость режима работы сооружений от изменения качества исходной воды;</w:t>
      </w:r>
    </w:p>
    <w:p>
      <w:pPr>
        <w:pStyle w:val="Style31"/>
        <w:numPr>
          <w:ilvl w:val="0"/>
          <w:numId w:val="2"/>
        </w:numPr>
        <w:rPr/>
      </w:pPr>
      <w:r>
        <w:rPr/>
        <w:t>территориальная разрозненность сооружений и необходимость координирования их работы из одного центра;</w:t>
      </w:r>
    </w:p>
    <w:p>
      <w:pPr>
        <w:pStyle w:val="Style31"/>
        <w:numPr>
          <w:ilvl w:val="0"/>
          <w:numId w:val="2"/>
        </w:numPr>
        <w:rPr/>
      </w:pPr>
      <w:r>
        <w:rPr/>
        <w:t>сложность технологического процесса и необходимость обеспечения высокого качества обработки воды;</w:t>
      </w:r>
    </w:p>
    <w:p>
      <w:pPr>
        <w:pStyle w:val="Style31"/>
        <w:numPr>
          <w:ilvl w:val="0"/>
          <w:numId w:val="2"/>
        </w:numPr>
        <w:rPr/>
      </w:pPr>
      <w:r>
        <w:rPr/>
        <w:t>необходимость сохранения работоспособности при авариях на отдельных участках системы;</w:t>
      </w:r>
    </w:p>
    <w:p>
      <w:pPr>
        <w:pStyle w:val="Style31"/>
        <w:numPr>
          <w:ilvl w:val="0"/>
          <w:numId w:val="2"/>
        </w:numPr>
        <w:rPr/>
      </w:pPr>
      <w:r>
        <w:rPr/>
        <w:t>значительная инерционность ряда технологических процессов.</w:t>
      </w:r>
    </w:p>
    <w:p>
      <w:pPr>
        <w:pStyle w:val="Normal"/>
        <w:rPr/>
      </w:pPr>
      <w:r>
        <w:rPr/>
        <w:t>Задачи автоматизации процессов водозабора, водоподготовки и транспортировки воды в основном состоят в следующем:</w:t>
      </w:r>
    </w:p>
    <w:p>
      <w:pPr>
        <w:pStyle w:val="Style31"/>
        <w:numPr>
          <w:ilvl w:val="0"/>
          <w:numId w:val="112"/>
        </w:numPr>
        <w:rPr/>
      </w:pPr>
      <w:r>
        <w:rPr/>
        <w:t>создание оптимальных условий работы отдельных сооружений;</w:t>
      </w:r>
    </w:p>
    <w:p>
      <w:pPr>
        <w:pStyle w:val="Style31"/>
        <w:numPr>
          <w:ilvl w:val="0"/>
          <w:numId w:val="2"/>
        </w:numPr>
        <w:rPr/>
      </w:pPr>
      <w:r>
        <w:rPr/>
        <w:t>улучшение технологического контроля за работой отдельных элементов системы водоснабжения и ходом процесса водоснабжения в целом;</w:t>
      </w:r>
    </w:p>
    <w:p>
      <w:pPr>
        <w:pStyle w:val="Style31"/>
        <w:numPr>
          <w:ilvl w:val="0"/>
          <w:numId w:val="2"/>
        </w:numPr>
        <w:rPr/>
      </w:pPr>
      <w:r>
        <w:rPr/>
        <w:t>улучшение условий труда эксплуатационного персонала с одновременным сокращением штатов обслуживающего персонала;</w:t>
      </w:r>
    </w:p>
    <w:p>
      <w:pPr>
        <w:pStyle w:val="Style31"/>
        <w:numPr>
          <w:ilvl w:val="0"/>
          <w:numId w:val="2"/>
        </w:numPr>
        <w:rPr/>
      </w:pPr>
      <w:r>
        <w:rPr/>
        <w:t>уменьшение стоимости подготовки воды требуемого качества.</w:t>
      </w:r>
    </w:p>
    <w:p>
      <w:pPr>
        <w:pStyle w:val="Normal"/>
        <w:rPr/>
      </w:pPr>
      <w:r>
        <w:rPr/>
        <w:t xml:space="preserve">При развитии систем автоматизации и диспетчеризации объектов централизованных систем водоснабжения предлагается организация двухступенчатой структуры диспетчерского управления, с наличием единого центрального пункта управления и двух действующих местных пультов управления. Функции центрального пункта управления заключаются в контроле всех основных объектов централизованных систем водоснабжения, как единого комплекса и координации работы всех местных пультов управления, с реализацией SCADA-системы. Функции местных пультов управления ограничиваются управлением подчиненных им технологических узлов. </w:t>
      </w:r>
    </w:p>
    <w:p>
      <w:pPr>
        <w:pStyle w:val="Normal"/>
        <w:rPr/>
      </w:pPr>
      <w:r>
        <w:rPr/>
        <w:t>Автоматизация процесса подачи воды в водопроводные сети от насосных агрегатов на станциях водоподготовки и на насосных станциях второго подъема заключается в частотном управлении работой данных насосных агрегатов с регулированием значения давления в напорном трубопроводе и передачей сигналов как в местную операторскую, так и на центральный пункт управления эксплуатирующей организации. Контролироваться на данных объектах должны следующие параметры:</w:t>
      </w:r>
    </w:p>
    <w:p>
      <w:pPr>
        <w:pStyle w:val="Style31"/>
        <w:numPr>
          <w:ilvl w:val="0"/>
          <w:numId w:val="113"/>
        </w:numPr>
        <w:rPr/>
      </w:pPr>
      <w:r>
        <w:rPr/>
        <w:t>давление, развиваемое каждым насосным агрегатом;</w:t>
      </w:r>
    </w:p>
    <w:p>
      <w:pPr>
        <w:pStyle w:val="Style31"/>
        <w:numPr>
          <w:ilvl w:val="0"/>
          <w:numId w:val="2"/>
        </w:numPr>
        <w:rPr/>
      </w:pPr>
      <w:r>
        <w:rPr/>
        <w:t xml:space="preserve">давление в напорном водоводе; </w:t>
      </w:r>
    </w:p>
    <w:p>
      <w:pPr>
        <w:pStyle w:val="Style31"/>
        <w:numPr>
          <w:ilvl w:val="0"/>
          <w:numId w:val="2"/>
        </w:numPr>
        <w:rPr/>
      </w:pPr>
      <w:r>
        <w:rPr/>
        <w:t>расход перекачиваемой воды;</w:t>
      </w:r>
    </w:p>
    <w:p>
      <w:pPr>
        <w:pStyle w:val="Style31"/>
        <w:numPr>
          <w:ilvl w:val="0"/>
          <w:numId w:val="2"/>
        </w:numPr>
        <w:rPr/>
      </w:pPr>
      <w:r>
        <w:rPr/>
        <w:t>уровень воды в дренажном приямке;</w:t>
      </w:r>
    </w:p>
    <w:p>
      <w:pPr>
        <w:pStyle w:val="Style31"/>
        <w:numPr>
          <w:ilvl w:val="0"/>
          <w:numId w:val="2"/>
        </w:numPr>
        <w:rPr/>
      </w:pPr>
      <w:r>
        <w:rPr/>
        <w:t>работающие насосные агрегаты;</w:t>
      </w:r>
    </w:p>
    <w:p>
      <w:pPr>
        <w:pStyle w:val="Style31"/>
        <w:numPr>
          <w:ilvl w:val="0"/>
          <w:numId w:val="2"/>
        </w:numPr>
        <w:rPr/>
      </w:pPr>
      <w:r>
        <w:rPr/>
        <w:t>наработка каждого насосного агрегата;</w:t>
      </w:r>
    </w:p>
    <w:p>
      <w:pPr>
        <w:pStyle w:val="Style31"/>
        <w:numPr>
          <w:ilvl w:val="0"/>
          <w:numId w:val="2"/>
        </w:numPr>
        <w:rPr/>
      </w:pPr>
      <w:r>
        <w:rPr/>
        <w:t>потребляемый ток (мощность) каждым скважинным насосным агрегатом;</w:t>
      </w:r>
    </w:p>
    <w:p>
      <w:pPr>
        <w:pStyle w:val="Style31"/>
        <w:numPr>
          <w:ilvl w:val="0"/>
          <w:numId w:val="2"/>
        </w:numPr>
        <w:rPr/>
      </w:pPr>
      <w:r>
        <w:rPr/>
        <w:t>число оборотов насосного агрегата при частотном регулировании;</w:t>
      </w:r>
    </w:p>
    <w:p>
      <w:pPr>
        <w:pStyle w:val="Style31"/>
        <w:numPr>
          <w:ilvl w:val="0"/>
          <w:numId w:val="2"/>
        </w:numPr>
        <w:rPr/>
      </w:pPr>
      <w:r>
        <w:rPr/>
        <w:t>аварийные ситуации.</w:t>
      </w:r>
    </w:p>
    <w:p>
      <w:pPr>
        <w:pStyle w:val="Normal"/>
        <w:rPr/>
      </w:pPr>
      <w:r>
        <w:rPr/>
        <w:t xml:space="preserve">Подробное описание, выбор требуемых технических решений по автоматизации процессов, оборудования и необходимых материалов требуется предусмотреть в соответствующих проектах по реконструкции (модернизации) соответствующих объектов централизованных систем водоснабжения. </w:t>
      </w:r>
    </w:p>
    <w:p>
      <w:pPr>
        <w:pStyle w:val="Normal"/>
        <w:rPr/>
      </w:pPr>
      <w:r>
        <w:rPr/>
        <w:t>Все локальные системы управления и диспетчеризации объектов централизованных систем водоснабжения должны быть связаны в общую систему диспетчерского управления с единым центральным пунктом управления, организованным в диспетчерской комнате эксплуатирующей организации (как вариант – на одном из двух действующих дистанционных пультов управления). Это позволит полностью контролировать и оперативно изменять ход действия технологических процессов, выполняемых каждым отдельным объектом централизованных систем водоснабжения.</w:t>
      </w:r>
    </w:p>
    <w:p>
      <w:pPr>
        <w:pStyle w:val="Normal"/>
        <w:rPr/>
      </w:pPr>
      <w:r>
        <w:rPr/>
        <w:t>В предлагаемой системе управления следует предусмотреть организацию контрольных (диктующих) точек с целью постоянного измерения и контроля значений давления в водопроводных сетях. Значения с датчиков давления следует передавать на центральный пункт управления для возможной корректировки режимов работы насосных агрегатов на основных объектах централизованных систем водоснабжения.</w:t>
      </w:r>
    </w:p>
    <w:p>
      <w:pPr>
        <w:pStyle w:val="Normal"/>
        <w:rPr/>
      </w:pPr>
      <w:r>
        <w:rPr/>
        <w:t>Подробное описание системы диспетчерского управления, разработка конкретных технических решений, определение состава оборудования и перечня необходимых материалов для реализации системы диспетчерского контроля должно быть предусмотрено соответствующим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соответствующих объектов.</w:t>
      </w:r>
    </w:p>
    <w:p>
      <w:pPr>
        <w:pStyle w:val="3"/>
        <w:rPr/>
      </w:pPr>
      <w:bookmarkStart w:id="100" w:name="_Toc158814589"/>
      <w:r>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00"/>
    </w:p>
    <w:p>
      <w:pPr>
        <w:pStyle w:val="Normal"/>
        <w:rPr/>
      </w:pPr>
      <w:r>
        <w:rPr/>
        <w:t>В соответствии с данными, предоставленными администрацией Беловского ГО по состоянию на 01.10.2023:</w:t>
      </w:r>
    </w:p>
    <w:p>
      <w:pPr>
        <w:pStyle w:val="Style31"/>
        <w:numPr>
          <w:ilvl w:val="0"/>
          <w:numId w:val="114"/>
        </w:numPr>
        <w:rPr/>
      </w:pPr>
      <w:r>
        <w:rPr/>
        <w:t xml:space="preserve">903 МКД обеспечены услугой холодного водоснабжения, из которых: </w:t>
      </w:r>
    </w:p>
    <w:p>
      <w:pPr>
        <w:pStyle w:val="Style31"/>
        <w:numPr>
          <w:ilvl w:val="1"/>
          <w:numId w:val="115"/>
        </w:numPr>
        <w:rPr/>
      </w:pPr>
      <w:r>
        <w:rPr/>
        <w:t>577 МКД фактически оснащены ОДПУ ХВС, в т.ч.:</w:t>
      </w:r>
    </w:p>
    <w:p>
      <w:pPr>
        <w:pStyle w:val="Style31"/>
        <w:numPr>
          <w:ilvl w:val="2"/>
          <w:numId w:val="2"/>
        </w:numPr>
        <w:rPr/>
      </w:pPr>
      <w:r>
        <w:rPr/>
        <w:t>567 МКД оснащены ОДПУ ХВС, которые приняты на коммерческий учет;</w:t>
      </w:r>
    </w:p>
    <w:p>
      <w:pPr>
        <w:pStyle w:val="Style31"/>
        <w:numPr>
          <w:ilvl w:val="1"/>
          <w:numId w:val="2"/>
        </w:numPr>
        <w:rPr/>
      </w:pPr>
      <w:r>
        <w:rPr/>
        <w:t>30 МКД относится к аварийному и ветхому жилому фонду;</w:t>
      </w:r>
    </w:p>
    <w:p>
      <w:pPr>
        <w:pStyle w:val="Style31"/>
        <w:numPr>
          <w:ilvl w:val="1"/>
          <w:numId w:val="2"/>
        </w:numPr>
        <w:rPr/>
      </w:pPr>
      <w:r>
        <w:rPr/>
        <w:t xml:space="preserve">326 МКД не оснащены ОДПУ ХВС, в т.ч.: </w:t>
      </w:r>
    </w:p>
    <w:p>
      <w:pPr>
        <w:pStyle w:val="Style31"/>
        <w:numPr>
          <w:ilvl w:val="2"/>
          <w:numId w:val="2"/>
        </w:numPr>
        <w:rPr/>
      </w:pPr>
      <w:r>
        <w:rPr/>
        <w:t>213 МКД не имеют технической возможности для установки ОДПУ;</w:t>
      </w:r>
    </w:p>
    <w:p>
      <w:pPr>
        <w:pStyle w:val="Style31"/>
        <w:numPr>
          <w:ilvl w:val="0"/>
          <w:numId w:val="2"/>
        </w:numPr>
        <w:rPr/>
      </w:pPr>
      <w:r>
        <w:rPr/>
        <w:t xml:space="preserve">794 МКД обеспечены услугой горячего водоснабжения, из которых: </w:t>
      </w:r>
    </w:p>
    <w:p>
      <w:pPr>
        <w:pStyle w:val="Style31"/>
        <w:numPr>
          <w:ilvl w:val="1"/>
          <w:numId w:val="2"/>
        </w:numPr>
        <w:rPr/>
      </w:pPr>
      <w:r>
        <w:rPr/>
        <w:t>406 МКД фактически оснащены ОДПУ ГВС, в т.ч.:</w:t>
      </w:r>
    </w:p>
    <w:p>
      <w:pPr>
        <w:pStyle w:val="Style31"/>
        <w:numPr>
          <w:ilvl w:val="2"/>
          <w:numId w:val="2"/>
        </w:numPr>
        <w:rPr/>
      </w:pPr>
      <w:r>
        <w:rPr/>
        <w:t>378 МКД оснащены ОДПУ ГВС, которые приняты на коммерческий учет;</w:t>
      </w:r>
    </w:p>
    <w:p>
      <w:pPr>
        <w:pStyle w:val="Style31"/>
        <w:numPr>
          <w:ilvl w:val="1"/>
          <w:numId w:val="2"/>
        </w:numPr>
        <w:rPr/>
      </w:pPr>
      <w:r>
        <w:rPr/>
        <w:t>7 МКД относится к аварийному и ветхому жилому фонду;</w:t>
      </w:r>
    </w:p>
    <w:p>
      <w:pPr>
        <w:pStyle w:val="Style31"/>
        <w:numPr>
          <w:ilvl w:val="1"/>
          <w:numId w:val="2"/>
        </w:numPr>
        <w:rPr/>
      </w:pPr>
      <w:r>
        <w:rPr/>
        <w:t xml:space="preserve">388 МКД не оснащены ОДПУ ГВС, в т.ч.: </w:t>
      </w:r>
    </w:p>
    <w:p>
      <w:pPr>
        <w:pStyle w:val="Style31"/>
        <w:numPr>
          <w:ilvl w:val="2"/>
          <w:numId w:val="2"/>
        </w:numPr>
        <w:rPr/>
      </w:pPr>
      <w:r>
        <w:rPr/>
        <w:t>274 МКД не имеют технической возможности для установки ОДПУ;</w:t>
      </w:r>
    </w:p>
    <w:p>
      <w:pPr>
        <w:pStyle w:val="Style31"/>
        <w:numPr>
          <w:ilvl w:val="2"/>
          <w:numId w:val="2"/>
        </w:numPr>
        <w:rPr/>
      </w:pPr>
      <w:r>
        <w:rPr/>
        <w:t xml:space="preserve">23 МКД запланированы к оснащению ОДПУ ГВС до 31.12.2023. </w:t>
      </w:r>
    </w:p>
    <w:p>
      <w:pPr>
        <w:pStyle w:val="Normal"/>
        <w:rPr/>
      </w:pPr>
      <w:r>
        <w:rPr/>
        <w:t>В разрезе организаций ВКХ на территории Беловского ГО сложилась следующая структура отпуска питьевой воды:</w:t>
      </w:r>
    </w:p>
    <w:p>
      <w:pPr>
        <w:pStyle w:val="Style31"/>
        <w:numPr>
          <w:ilvl w:val="0"/>
          <w:numId w:val="116"/>
        </w:numPr>
        <w:rPr/>
      </w:pPr>
      <w:r>
        <w:rPr/>
        <w:t>Доля отпущенной абонентам питьевой воды, определенная расчетным путем (по нормативам потребления), в эксплуатационной зоне ООО «Водоснабжение» составляет ~25,0% (около 75,0% устанавливается по приборам учета);</w:t>
      </w:r>
    </w:p>
    <w:p>
      <w:pPr>
        <w:pStyle w:val="Style31"/>
        <w:numPr>
          <w:ilvl w:val="0"/>
          <w:numId w:val="2"/>
        </w:numPr>
        <w:rPr/>
      </w:pPr>
      <w:r>
        <w:rPr/>
        <w:t>Доля отпущенной абонентам питьевой воды, определенная расчетным путем (по нормативам потребления), в эксплуатационной зоне МУП «Водоканал» составляет ~15,4% (около 84,6% устанавливается по приборам учета);</w:t>
      </w:r>
    </w:p>
    <w:p>
      <w:pPr>
        <w:pStyle w:val="Style31"/>
        <w:numPr>
          <w:ilvl w:val="0"/>
          <w:numId w:val="2"/>
        </w:numPr>
        <w:rPr/>
      </w:pPr>
      <w:r>
        <w:rPr/>
        <w:t xml:space="preserve">Доля отпущенной абонентам питьевой воды, определенная расчетным путем (по нормативам потребления), в эксплуатационной зоне ООО «ЭК» составляет ~35,4% (около 64,6% устанавливается по приборам учета). </w:t>
      </w:r>
    </w:p>
    <w:p>
      <w:pPr>
        <w:pStyle w:val="Normal"/>
        <w:rPr/>
      </w:pPr>
      <w:r>
        <w:rPr/>
        <w:t xml:space="preserve">На основании сведений, приведенных выше, следует сделать вывод о недостаточной оснащенности приборами коммерческого учета абонентов. </w:t>
      </w:r>
    </w:p>
    <w:p>
      <w:pPr>
        <w:pStyle w:val="Normal"/>
        <w:rPr/>
      </w:pPr>
      <w:r>
        <w:rPr/>
        <w:t>В соответствии с частью 5 статьи 13 главы 3 [</w:t>
      </w:r>
      <w:r>
        <w:rPr/>
        <w:fldChar w:fldCharType="begin"/>
      </w:r>
      <w:r>
        <w:rPr/>
        <w:instrText xml:space="preserve"> REF _Ref156887085 \r \h </w:instrText>
      </w:r>
      <w:r>
        <w:rPr/>
        <w:fldChar w:fldCharType="separate"/>
      </w:r>
      <w:r>
        <w:rPr/>
        <w:t>5</w:t>
      </w:r>
      <w:r>
        <w:rPr/>
        <w:fldChar w:fldCharType="end"/>
      </w:r>
      <w:r>
        <w:rPr/>
        <w:t>] собственники жилых домов, собственники помещений в многоквартирных домах, введенных в эксплуатацию на день вступления в силу [</w:t>
      </w:r>
      <w:r>
        <w:rPr/>
        <w:fldChar w:fldCharType="begin"/>
      </w:r>
      <w:r>
        <w:rPr/>
        <w:instrText xml:space="preserve"> REF _Ref156887085 \r \h </w:instrText>
      </w:r>
      <w:r>
        <w:rPr/>
        <w:fldChar w:fldCharType="separate"/>
      </w:r>
      <w:r>
        <w:rPr/>
        <w:t>5</w:t>
      </w:r>
      <w:r>
        <w:rPr/>
        <w:fldChar w:fldCharType="end"/>
      </w:r>
      <w:r>
        <w:rPr/>
        <w:t>], обязаны обеспечить оснащение таких домов приборами учета используемых воды,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воды, тепловой энергии, электрической энергии, а также индивидуальными и общими (для коммунальной квартиры) приборами учета используемых воды, электрической энергии.</w:t>
      </w:r>
    </w:p>
    <w:p>
      <w:pPr>
        <w:pStyle w:val="Normal"/>
        <w:rPr/>
      </w:pPr>
      <w:r>
        <w:rPr/>
        <w:t>В соответствии с пунктом 38</w:t>
      </w:r>
      <w:r>
        <w:rPr>
          <w:vertAlign w:val="superscript"/>
        </w:rPr>
        <w:t>1</w:t>
      </w:r>
      <w:r>
        <w:rPr/>
        <w:t xml:space="preserve"> [</w:t>
      </w:r>
      <w:r>
        <w:rPr/>
        <w:fldChar w:fldCharType="begin"/>
      </w:r>
      <w:r>
        <w:rPr/>
        <w:instrText xml:space="preserve"> REF _Ref156887509 \r \h </w:instrText>
      </w:r>
      <w:r>
        <w:rPr/>
        <w:fldChar w:fldCharType="separate"/>
      </w:r>
      <w:r>
        <w:rPr/>
        <w:t>21</w:t>
      </w:r>
      <w:r>
        <w:rPr/>
        <w:fldChar w:fldCharType="end"/>
      </w:r>
      <w:r>
        <w:rPr/>
        <w:t>] в случае если собственники помещений в многоквартирном доме не обеспечили оснащение такого дома коллективным (общедомовым) прибором учета используемого коммунального ресурса и при этом был установлен коллективный (общедомовой) прибор учета, собственники помещений обязаны оплатить расходы на установку такого прибора учета, за исключением случаев, когда такие расходы были учтены в составе платы за содержание жилого помещения и (или) в составе установленных для членов товарищества собственников жилья либо жилищного кооператива или иного специализированного потребительского кооператива обязательных платежей и (или) взносов, связанных с оплатой расходов на содержание, текущий и капитальный ремонт общего имущества.</w:t>
      </w:r>
    </w:p>
    <w:p>
      <w:pPr>
        <w:pStyle w:val="Normal"/>
        <w:rPr/>
      </w:pPr>
      <w:r>
        <w:rPr/>
        <w:t>Счета на оплату расходов на установку коллективного (общедомового) прибора учета с указанием общего размера расходов на установку такого прибора учета и доли расходов на установку такого прибора учета, бремя которых несет собственник помещения, выставляются собственникам помещений организацией, осуществившей установку коллективного (общедомового) прибора учета. Доля расходов на установку коллективного (общедомового) прибора учета, бремя которых несет собственник помещения, определяется исходя из его доли в праве общей собственности на общее имущество.</w:t>
      </w:r>
    </w:p>
    <w:p>
      <w:pPr>
        <w:pStyle w:val="Normal"/>
        <w:rPr/>
      </w:pPr>
      <w:r>
        <w:rPr/>
        <w:t>Также в соответствии с частью 9 статьи 13 главы 3 [</w:t>
      </w:r>
      <w:r>
        <w:rPr/>
        <w:fldChar w:fldCharType="begin"/>
      </w:r>
      <w:r>
        <w:rPr/>
        <w:instrText xml:space="preserve"> REF _Ref156887085 \r \h </w:instrText>
      </w:r>
      <w:r>
        <w:rPr/>
        <w:fldChar w:fldCharType="separate"/>
      </w:r>
      <w:r>
        <w:rPr/>
        <w:t>5</w:t>
      </w:r>
      <w:r>
        <w:rPr/>
        <w:fldChar w:fldCharType="end"/>
      </w:r>
      <w:r>
        <w:rPr/>
        <w:t>] организации, осуществляющие снабжение водой,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w:t>
      </w:r>
    </w:p>
    <w:p>
      <w:pPr>
        <w:pStyle w:val="3"/>
        <w:rPr/>
      </w:pPr>
      <w:bookmarkStart w:id="101" w:name="_Toc158814590"/>
      <w:r>
        <w:rPr/>
        <w:t>Описание вариантов маршрутов прохождения трубопроводов (трасс) по территории поселения, городского округа и их обоснование</w:t>
      </w:r>
      <w:bookmarkEnd w:id="101"/>
    </w:p>
    <w:p>
      <w:pPr>
        <w:pStyle w:val="Normal"/>
        <w:rPr/>
      </w:pPr>
      <w:r>
        <w:rPr/>
        <w:t xml:space="preserve">Трассы прокладки перспективных водопроводных следует выбирать с учетом обеспечения кратчайшего расстояния до точек подключения перспективных абонентов, рельефа местности, искусственных и естественных преград. </w:t>
      </w:r>
    </w:p>
    <w:p>
      <w:pPr>
        <w:pStyle w:val="Normal"/>
        <w:rPr/>
      </w:pPr>
      <w:r>
        <w:rPr/>
        <w:t>Трассы прокладки перспективных водопроводных сетей и места расположения площадок иных объектов централизованных систем водоснабжения подлежат уточнению и корректировке на стадии проектирования объектов.</w:t>
      </w:r>
    </w:p>
    <w:p>
      <w:pPr>
        <w:pStyle w:val="Normal"/>
        <w:rPr/>
      </w:pPr>
      <w:r>
        <w:rPr/>
        <w:t xml:space="preserve">Варианты маршрутов прохождения трубопроводов (трасс) по территории Беловского ГО приведены в составе электронной гидравлической модели систем водоснабжения и водоотведения Беловского ГО. </w:t>
      </w:r>
    </w:p>
    <w:p>
      <w:pPr>
        <w:pStyle w:val="3"/>
        <w:rPr/>
      </w:pPr>
      <w:bookmarkStart w:id="102" w:name="_Toc158814591"/>
      <w:r>
        <w:rPr/>
        <w:t>Рекомендации о месте размещения насосных станций, резервуаров, водонапорных башен</w:t>
      </w:r>
      <w:bookmarkEnd w:id="102"/>
    </w:p>
    <w:p>
      <w:pPr>
        <w:pStyle w:val="Normal"/>
        <w:rPr/>
      </w:pPr>
      <w:r>
        <w:rPr/>
        <w:t>В рамках настоящей работы изменение мест размещения насосных станций и резервуаров не предусмотрено.</w:t>
      </w:r>
    </w:p>
    <w:p>
      <w:pPr>
        <w:pStyle w:val="Normal"/>
        <w:rPr/>
      </w:pPr>
      <w:r>
        <w:rPr/>
        <w:t xml:space="preserve">Водонапорные башни в ЦС ХВС Беловского ГО отсутствуют. </w:t>
      </w:r>
    </w:p>
    <w:p>
      <w:pPr>
        <w:pStyle w:val="Normal"/>
        <w:rPr/>
      </w:pPr>
      <w:r>
        <w:rPr/>
        <w:t xml:space="preserve">Местоположение существующих, а также планируемых к строительству объектов ЦС ХВС приведено в составе электронной гидравлической модели систем водоснабжения и водоотведения Беловского ГО. </w:t>
      </w:r>
    </w:p>
    <w:p>
      <w:pPr>
        <w:pStyle w:val="3"/>
        <w:rPr/>
      </w:pPr>
      <w:bookmarkStart w:id="103" w:name="_Toc158814592"/>
      <w:r>
        <w:rPr/>
        <w:t>Границы планируемых зон размещения объектов централизованных систем горячего водоснабжения, холодного водоснабжения</w:t>
      </w:r>
      <w:bookmarkEnd w:id="103"/>
    </w:p>
    <w:p>
      <w:pPr>
        <w:pStyle w:val="Normal"/>
        <w:rPr/>
      </w:pPr>
      <w:r>
        <w:rPr/>
        <w:t xml:space="preserve">Границы планируемых зон размещения объектов централизованных систем холодного водоснабжения представлены в составе электронной гидравлической модели систем водоснабжения и водоотведения Беловского ГО. </w:t>
      </w:r>
    </w:p>
    <w:p>
      <w:pPr>
        <w:pStyle w:val="3"/>
        <w:rPr/>
      </w:pPr>
      <w:bookmarkStart w:id="104" w:name="_Toc158814593"/>
      <w:r>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104"/>
    </w:p>
    <w:p>
      <w:pPr>
        <w:pStyle w:val="Normal"/>
        <w:rPr/>
      </w:pPr>
      <w:r>
        <w:rPr/>
        <w:t xml:space="preserve">Карты (схемы) существующего размещения объектов централизованных систем холодного водоснабжения приведены выше в составе </w:t>
      </w:r>
      <w:hyperlink w:anchor="_Описание_технологических_зон">
        <w:r>
          <w:rPr>
            <w:rStyle w:val="-"/>
          </w:rPr>
          <w:t>подраздела 1.1.3</w:t>
        </w:r>
      </w:hyperlink>
      <w:r>
        <w:rPr/>
        <w:t xml:space="preserve"> на рисунках </w:t>
      </w:r>
      <w:r>
        <w:rPr/>
        <w:fldChar w:fldCharType="begin"/>
      </w:r>
      <w:r>
        <w:rPr/>
        <w:instrText xml:space="preserve"> REF _Ref156857249 \h </w:instrText>
      </w:r>
      <w:r>
        <w:rPr/>
        <w:fldChar w:fldCharType="separate"/>
      </w:r>
      <w:r>
        <w:rPr/>
        <w:t>Рисунок 1.1.5</w:t>
      </w:r>
      <w:r>
        <w:rPr/>
        <w:fldChar w:fldCharType="end"/>
      </w:r>
      <w:r>
        <w:rPr/>
        <w:t>–</w:t>
      </w:r>
      <w:r>
        <w:rPr/>
        <w:fldChar w:fldCharType="begin"/>
      </w:r>
      <w:r>
        <w:rPr/>
        <w:instrText xml:space="preserve"> REF _Ref156857255 \h </w:instrText>
      </w:r>
      <w:r>
        <w:rPr/>
        <w:fldChar w:fldCharType="separate"/>
      </w:r>
      <w:r>
        <w:rPr/>
        <w:t>Рисунок 1.1.8</w:t>
      </w:r>
      <w:r>
        <w:rPr/>
        <w:fldChar w:fldCharType="end"/>
      </w:r>
      <w:r>
        <w:rPr/>
        <w:t xml:space="preserve">. </w:t>
      </w:r>
    </w:p>
    <w:p>
      <w:pPr>
        <w:pStyle w:val="Normal"/>
        <w:rPr/>
      </w:pPr>
      <w:r>
        <w:rPr/>
        <w:t xml:space="preserve">Карты (схемы) планируемого размещения объектов централизованных систем холодного водоснабжения представлены в составе электронной гидравлической модели систем водоснабжения и водоотведения Беловского ГО. </w:t>
      </w:r>
    </w:p>
    <w:p>
      <w:pPr>
        <w:pStyle w:val="2"/>
        <w:rPr/>
      </w:pPr>
      <w:bookmarkStart w:id="105" w:name="_Toc158814594"/>
      <w:r>
        <w:rPr/>
        <w:t>Экологические аспекты мероприятий по строительству, реконструкции и модернизации объектов централизованных систем водоснабжения</w:t>
      </w:r>
      <w:bookmarkEnd w:id="105"/>
    </w:p>
    <w:p>
      <w:pPr>
        <w:pStyle w:val="3"/>
        <w:rPr/>
      </w:pPr>
      <w:bookmarkStart w:id="106" w:name="_Toc158814595"/>
      <w:r>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6"/>
    </w:p>
    <w:p>
      <w:pPr>
        <w:pStyle w:val="Normal"/>
        <w:rPr/>
      </w:pPr>
      <w:r>
        <w:rPr/>
        <w:t>При реализации приоритетного сценария развития централизованных систем водоснабжения на территории Беловского ГО не предусматривается мероприятий, в рамках которых необходимым было бы предусмотреть меры по предотвращению вредного воздействия на водный бассейн при сбросе (утилизации) промывных вод.</w:t>
      </w:r>
    </w:p>
    <w:p>
      <w:pPr>
        <w:pStyle w:val="Normal"/>
        <w:rPr/>
      </w:pPr>
      <w:r>
        <w:rPr/>
        <w:t>Промывные воды, образующиеся в процессе водоподготовки на станции обезжелезивания, планируется направлять в оборот, т.е. снова подвергать их очистке на водопроводных сооружениях.</w:t>
      </w:r>
    </w:p>
    <w:p>
      <w:pPr>
        <w:pStyle w:val="Normal"/>
        <w:rPr/>
      </w:pPr>
      <w:r>
        <w:rPr/>
        <w:t>Способ утилизации промывных вод, образующихся в процессе водоподготовки на сооружениях ООО «Водоснабжение» подлежит уточнению и корректировке на стадии проектирования объектов схемы.</w:t>
      </w:r>
    </w:p>
    <w:p>
      <w:pPr>
        <w:pStyle w:val="3"/>
        <w:rPr/>
      </w:pPr>
      <w:bookmarkStart w:id="107" w:name="_Toc158814596"/>
      <w:r>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107"/>
    </w:p>
    <w:p>
      <w:pPr>
        <w:pStyle w:val="Normal"/>
        <w:rPr/>
      </w:pPr>
      <w:r>
        <w:rPr/>
        <w:t>На момент выполнения настоящей работы обеззараживание питьевой воды в эксплуатационной зоне ООО «ЭК» предусмотрено гипохлоритом натрия. Преимуществом технологии обеззараживания питьевой воды гипохлоритом натрия является безопасность ее применения и значительное уменьшение воздействия на окружающую среду по сравнению с жидким хлором.</w:t>
      </w:r>
    </w:p>
    <w:p>
      <w:pPr>
        <w:pStyle w:val="Normal"/>
        <w:rPr/>
      </w:pPr>
      <w:r>
        <w:rPr/>
        <w:t>Обеззараживание питьевой воды на скважинах ООО «Водоснабжение» производится препаратом Биопаг (Полигексаметиленгуанидин гидрохлорид). Биопаг уничтожает бактерии, вирусы, микроскопические грибки (плесень), одноклеточные водоросли. При этом отсутствуют практически все негативные последствия использования Биопага. Являясь органическим веществом, Биопаг деградируется ферментными системами организма человека до обычных метаболитов, не оказывая никакого вредного влияния. Таким образом, обеззараживание питьевой воды препаратом Биопаг является безопасным методом – применение снижает опасность возникновения аварийных ситуаций, связанных с хлором.</w:t>
      </w:r>
    </w:p>
    <w:p>
      <w:pPr>
        <w:pStyle w:val="Normal"/>
        <w:rPr/>
      </w:pPr>
      <w:r>
        <w:rPr/>
        <w:t>Информация об использовании химических реагентов, применяемых в процессе водоподготовки, на сооружениях г. Ленинск-Кузнецкий, отсутствует.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г. Ленинск-Кузнецкий, рассматриваются в рамках схемы водоснабжения и водоотведения Ленинск-Кузнецкого городского округа.</w:t>
      </w:r>
    </w:p>
    <w:p>
      <w:pPr>
        <w:pStyle w:val="2"/>
        <w:rPr/>
      </w:pPr>
      <w:bookmarkStart w:id="108" w:name="_Toc158814597"/>
      <w:r>
        <w:rPr/>
        <w:t>Оценка объемов капитальных вложений в строительство, реконструкцию и модернизацию объектов централизованных систем водоснабжения</w:t>
      </w:r>
      <w:bookmarkEnd w:id="108"/>
    </w:p>
    <w:p>
      <w:pPr>
        <w:pStyle w:val="3"/>
        <w:rPr/>
      </w:pPr>
      <w:bookmarkStart w:id="109" w:name="_Toc158814598"/>
      <w:r>
        <w:rPr/>
        <w:t>Оценка стоимости основных мероприятий по реализации схем водоснабжения</w:t>
      </w:r>
      <w:bookmarkEnd w:id="109"/>
    </w:p>
    <w:p>
      <w:pPr>
        <w:pStyle w:val="Normal"/>
        <w:rPr/>
      </w:pPr>
      <w:r>
        <w:rPr/>
        <w:t>Оценка объемов капитальных вложений (стоимости) в строительство, реконструкцию и модернизацию объектов централизованных систем водоснабжения произведена в соответствии со следующими нормативными правовыми актами:</w:t>
      </w:r>
    </w:p>
    <w:p>
      <w:pPr>
        <w:pStyle w:val="Style31"/>
        <w:numPr>
          <w:ilvl w:val="0"/>
          <w:numId w:val="117"/>
        </w:numPr>
        <w:rPr/>
      </w:pPr>
      <w:r>
        <w:rPr/>
        <w:t>методика разработки и применения укрупненных нормативов цены строительства [</w:t>
      </w:r>
      <w:r>
        <w:rPr/>
        <w:fldChar w:fldCharType="begin"/>
      </w:r>
      <w:r>
        <w:rPr/>
        <w:instrText xml:space="preserve"> REF _Ref156946183 \n \h </w:instrText>
      </w:r>
      <w:r>
        <w:rPr/>
        <w:fldChar w:fldCharType="separate"/>
      </w:r>
      <w:r>
        <w:rPr/>
        <w:t>25</w:t>
      </w:r>
      <w:r>
        <w:rPr/>
        <w:fldChar w:fldCharType="end"/>
      </w:r>
      <w:r>
        <w:rPr/>
        <w:t>];</w:t>
      </w:r>
    </w:p>
    <w:p>
      <w:pPr>
        <w:pStyle w:val="Style31"/>
        <w:numPr>
          <w:ilvl w:val="0"/>
          <w:numId w:val="2"/>
        </w:numPr>
        <w:rPr/>
      </w:pPr>
      <w:r>
        <w:rPr/>
        <w:t>НЦС 81-02-14-2023. Сборник № 14. Наружные сети водоснабжения и канализации [</w:t>
      </w:r>
      <w:r>
        <w:rPr/>
        <w:fldChar w:fldCharType="begin"/>
      </w:r>
      <w:r>
        <w:rPr/>
        <w:instrText xml:space="preserve"> REF _Ref156946189 \n \h </w:instrText>
      </w:r>
      <w:r>
        <w:rPr/>
        <w:fldChar w:fldCharType="separate"/>
      </w:r>
      <w:r>
        <w:rPr/>
        <w:t>26</w:t>
      </w:r>
      <w:r>
        <w:rPr/>
        <w:fldChar w:fldCharType="end"/>
      </w:r>
      <w:r>
        <w:rPr/>
        <w:t>];</w:t>
      </w:r>
    </w:p>
    <w:p>
      <w:pPr>
        <w:pStyle w:val="Style31"/>
        <w:numPr>
          <w:ilvl w:val="0"/>
          <w:numId w:val="2"/>
        </w:numPr>
        <w:rPr/>
      </w:pPr>
      <w:r>
        <w:rPr/>
        <w:t>НЦС 81-02-19-2023. Сборник № 19. Здания и сооружения городской инфраструктуры [</w:t>
      </w:r>
      <w:r>
        <w:rPr/>
        <w:fldChar w:fldCharType="begin"/>
      </w:r>
      <w:r>
        <w:rPr/>
        <w:instrText xml:space="preserve"> REF _Ref156946192 \n \h </w:instrText>
      </w:r>
      <w:r>
        <w:rPr/>
        <w:fldChar w:fldCharType="separate"/>
      </w:r>
      <w:r>
        <w:rPr/>
        <w:t>27</w:t>
      </w:r>
      <w:r>
        <w:rPr/>
        <w:fldChar w:fldCharType="end"/>
      </w:r>
      <w:r>
        <w:rPr/>
        <w:t>].</w:t>
      </w:r>
    </w:p>
    <w:p>
      <w:pPr>
        <w:pStyle w:val="Normal"/>
        <w:rPr/>
      </w:pPr>
      <w:r>
        <w:rPr/>
        <w:t>При определении стоимости строительства, реконструкции и модернизации водопроводных сетей в соответствии с [</w:t>
      </w:r>
      <w:r>
        <w:rPr/>
        <w:fldChar w:fldCharType="begin"/>
      </w:r>
      <w:r>
        <w:rPr/>
        <w:instrText xml:space="preserve"> REF _Ref156946189 \n \h </w:instrText>
      </w:r>
      <w:r>
        <w:rPr/>
        <w:fldChar w:fldCharType="separate"/>
      </w:r>
      <w:r>
        <w:rPr/>
        <w:t>26</w:t>
      </w:r>
      <w:r>
        <w:rPr/>
        <w:fldChar w:fldCharType="end"/>
      </w:r>
      <w:r>
        <w:rPr/>
        <w:t>] приняты следующие положения:</w:t>
      </w:r>
    </w:p>
    <w:p>
      <w:pPr>
        <w:pStyle w:val="Style31"/>
        <w:numPr>
          <w:ilvl w:val="0"/>
          <w:numId w:val="118"/>
        </w:numPr>
        <w:rPr/>
      </w:pPr>
      <w:r>
        <w:rPr/>
        <w:t>применение при строительстве, реконструкции и модернизации водопроводных сетей из полиэтиленовых труб;</w:t>
      </w:r>
    </w:p>
    <w:p>
      <w:pPr>
        <w:pStyle w:val="Style31"/>
        <w:numPr>
          <w:ilvl w:val="0"/>
          <w:numId w:val="2"/>
        </w:numPr>
        <w:rPr/>
      </w:pPr>
      <w:r>
        <w:rPr/>
        <w:t>способ производства работ – разработка мокрого грунта в отвал, без креплений (группа грунтов 1-3, глубина – 3 м);</w:t>
      </w:r>
    </w:p>
    <w:p>
      <w:pPr>
        <w:pStyle w:val="Style31"/>
        <w:numPr>
          <w:ilvl w:val="0"/>
          <w:numId w:val="2"/>
        </w:numPr>
        <w:rPr/>
      </w:pPr>
      <w:r>
        <w:rPr/>
        <w:t>коэффициент перехода от цен базового района к уровню цен субъекта Российской Федерации Kпер=1,02;</w:t>
      </w:r>
    </w:p>
    <w:p>
      <w:pPr>
        <w:pStyle w:val="Style31"/>
        <w:numPr>
          <w:ilvl w:val="0"/>
          <w:numId w:val="2"/>
        </w:numPr>
        <w:rPr/>
      </w:pPr>
      <w:r>
        <w:rPr/>
        <w:t>зональный коэффициент изменения стоимости строительства Kпер/зон=1,00;</w:t>
      </w:r>
    </w:p>
    <w:p>
      <w:pPr>
        <w:pStyle w:val="Style31"/>
        <w:numPr>
          <w:ilvl w:val="0"/>
          <w:numId w:val="2"/>
        </w:numPr>
        <w:rPr/>
      </w:pPr>
      <w:r>
        <w:rPr/>
        <w:t>коэффициент, учитывающий изменение стоимости строительства на территориях субъектов Российской Федерации, связанный с климатическими условиями Kрег</w:t>
      </w:r>
      <w:r>
        <w:rPr>
          <w:vertAlign w:val="subscript"/>
        </w:rPr>
        <w:t>1</w:t>
      </w:r>
      <w:r>
        <w:rPr/>
        <w:t>=1,01;</w:t>
      </w:r>
    </w:p>
    <w:p>
      <w:pPr>
        <w:pStyle w:val="Style31"/>
        <w:numPr>
          <w:ilvl w:val="0"/>
          <w:numId w:val="2"/>
        </w:numPr>
        <w:rPr/>
      </w:pPr>
      <w:r>
        <w:rPr/>
        <w:t>коэффициент, характеризующий удорожание стоимости строительства в сейсмических районах Российской Федерации по отношению к базовому району Kс=1,00.</w:t>
      </w:r>
    </w:p>
    <w:p>
      <w:pPr>
        <w:pStyle w:val="Normal"/>
        <w:rPr/>
      </w:pPr>
      <w:r>
        <w:rPr/>
        <w:t>При определении стоимости строительства, реконструкции и модернизации прочих объектов централизованных систем водоснабжения в соответствии с [</w:t>
      </w:r>
      <w:r>
        <w:rPr/>
        <w:fldChar w:fldCharType="begin"/>
      </w:r>
      <w:r>
        <w:rPr/>
        <w:instrText xml:space="preserve"> REF _Ref156946192 \n \h </w:instrText>
      </w:r>
      <w:r>
        <w:rPr/>
        <w:fldChar w:fldCharType="separate"/>
      </w:r>
      <w:r>
        <w:rPr/>
        <w:t>27</w:t>
      </w:r>
      <w:r>
        <w:rPr/>
        <w:fldChar w:fldCharType="end"/>
      </w:r>
      <w:r>
        <w:rPr/>
        <w:t>] приняты следующие положения:</w:t>
      </w:r>
    </w:p>
    <w:p>
      <w:pPr>
        <w:pStyle w:val="Style31"/>
        <w:numPr>
          <w:ilvl w:val="0"/>
          <w:numId w:val="119"/>
        </w:numPr>
        <w:rPr/>
      </w:pPr>
      <w:r>
        <w:rPr/>
        <w:t>коэффициент перехода от цен базового района к уровню цен субъекта Российской Федерации Kпер=1,01;</w:t>
      </w:r>
    </w:p>
    <w:p>
      <w:pPr>
        <w:pStyle w:val="Style31"/>
        <w:numPr>
          <w:ilvl w:val="0"/>
          <w:numId w:val="2"/>
        </w:numPr>
        <w:rPr/>
      </w:pPr>
      <w:r>
        <w:rPr/>
        <w:t>зональный коэффициент изменения стоимости строительства Kпер/зон=1,00;</w:t>
      </w:r>
    </w:p>
    <w:p>
      <w:pPr>
        <w:pStyle w:val="Style31"/>
        <w:numPr>
          <w:ilvl w:val="0"/>
          <w:numId w:val="2"/>
        </w:numPr>
        <w:rPr/>
      </w:pPr>
      <w:r>
        <w:rPr/>
        <w:t>коэффициент, учитывающий изменение стоимости строительства на территориях субъектов Российской Федерации, связанный с климатическими условиями Kрег</w:t>
      </w:r>
      <w:r>
        <w:rPr>
          <w:vertAlign w:val="subscript"/>
        </w:rPr>
        <w:t>1</w:t>
      </w:r>
      <w:r>
        <w:rPr/>
        <w:t>=1,01;</w:t>
      </w:r>
    </w:p>
    <w:p>
      <w:pPr>
        <w:pStyle w:val="Style31"/>
        <w:numPr>
          <w:ilvl w:val="0"/>
          <w:numId w:val="2"/>
        </w:numPr>
        <w:rPr/>
      </w:pPr>
      <w:r>
        <w:rPr/>
        <w:t>коэффициент, характеризующий удорожание стоимости строительства в сейсмических районах Российской Федерации по отношению к базовому району Kс=1,00.</w:t>
      </w:r>
    </w:p>
    <w:p>
      <w:pPr>
        <w:pStyle w:val="Normal"/>
        <w:rPr/>
      </w:pPr>
      <w:r>
        <w:rPr/>
        <w:t>Для приведения стоимостей мероприятий от цен 2023 года к ценам лет их реализации применены определенные в соответствии прогнозами социально-экономического развития Российской Федерации индексы-дефляторы (по базовому варианту по строке «Инвестиции в основной капитал»), в том числе:</w:t>
      </w:r>
    </w:p>
    <w:p>
      <w:pPr>
        <w:pStyle w:val="Style31"/>
        <w:numPr>
          <w:ilvl w:val="0"/>
          <w:numId w:val="120"/>
        </w:numPr>
        <w:rPr/>
      </w:pPr>
      <w:r>
        <w:rPr/>
        <w:t>на период 2024–2026 годов в соответствии с публикацией Министерства экономического развития Российской Федерации от 22.09.2023;</w:t>
      </w:r>
    </w:p>
    <w:p>
      <w:pPr>
        <w:pStyle w:val="Style31"/>
        <w:numPr>
          <w:ilvl w:val="0"/>
          <w:numId w:val="2"/>
        </w:numPr>
        <w:rPr/>
      </w:pPr>
      <w:r>
        <w:rPr/>
        <w:t xml:space="preserve">на период 2027–2036 годов в соответствии с публикацией Министерства экономического развития Российской Федерации от 28.11.2018. </w:t>
      </w:r>
    </w:p>
    <w:p>
      <w:pPr>
        <w:pStyle w:val="Normal"/>
        <w:rPr/>
      </w:pPr>
      <w:r>
        <w:rPr/>
        <w:t xml:space="preserve">Примененные индексы-дефляторы приведены в таблице </w:t>
      </w:r>
      <w:r>
        <w:rPr/>
        <w:fldChar w:fldCharType="begin"/>
      </w:r>
      <w:r>
        <w:rPr/>
        <w:instrText xml:space="preserve"> REF _Ref156946990 \h </w:instrText>
      </w:r>
      <w:r>
        <w:rPr/>
        <w:fldChar w:fldCharType="separate"/>
      </w:r>
      <w:r>
        <w:rPr/>
        <w:t>Таблица 1.6.23</w:t>
      </w:r>
      <w:r>
        <w:rPr/>
        <w:fldChar w:fldCharType="end"/>
      </w:r>
      <w:r>
        <w:rPr/>
        <w:t xml:space="preserve">. </w:t>
      </w:r>
    </w:p>
    <w:p>
      <w:pPr>
        <w:pStyle w:val="Style34"/>
        <w:rPr/>
      </w:pPr>
      <w:bookmarkStart w:id="110" w:name="_Ref156946990"/>
      <w:r>
        <w:rPr/>
        <w:t xml:space="preserve">Таблица </w:t>
      </w:r>
      <w:r>
        <w:fldChar w:fldCharType="begin"/>
      </w:r>
      <w:r>
        <w:rPr/>
        <w:instrText xml:space="preserve">STYLEREF 2 \s</w:instrText>
      </w:r>
      <w:r>
        <w:rPr/>
      </w:r>
      <w:r>
        <w:rPr/>
        <w:fldChar w:fldCharType="separate"/>
      </w:r>
      <w:r>
        <w:rPr/>
        <w:t>1.6</w:t>
      </w:r>
      <w:r>
        <w:rPr/>
      </w:r>
      <w:r>
        <w:rPr/>
        <w:fldChar w:fldCharType="end"/>
      </w:r>
      <w:r>
        <w:rPr/>
        <w:t>.</w:t>
      </w:r>
      <w:r>
        <w:rPr/>
        <w:fldChar w:fldCharType="begin"/>
      </w:r>
      <w:r>
        <w:rPr/>
        <w:instrText xml:space="preserve"> SEQ Таблица \* ARABIC </w:instrText>
      </w:r>
      <w:r>
        <w:rPr/>
        <w:fldChar w:fldCharType="separate"/>
      </w:r>
      <w:r>
        <w:rPr/>
        <w:t>23</w:t>
      </w:r>
      <w:r>
        <w:rPr/>
        <w:fldChar w:fldCharType="end"/>
      </w:r>
      <w:bookmarkEnd w:id="110"/>
      <w:r>
        <w:rPr/>
        <w:t xml:space="preserve"> – Примененные индексы-дефляторы</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45"/>
        <w:gridCol w:w="3390"/>
        <w:gridCol w:w="774"/>
        <w:gridCol w:w="773"/>
        <w:gridCol w:w="774"/>
        <w:gridCol w:w="775"/>
        <w:gridCol w:w="775"/>
        <w:gridCol w:w="775"/>
        <w:gridCol w:w="773"/>
      </w:tblGrid>
      <w:tr>
        <w:trPr>
          <w:trHeight w:val="20" w:hRule="atLeast"/>
        </w:trPr>
        <w:tc>
          <w:tcPr>
            <w:tcW w:w="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39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5419" w:type="dxa"/>
            <w:gridSpan w:val="7"/>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7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7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7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7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7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7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2023</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предыдущему году</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106,97%</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105,27%</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104,76%</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104,58%</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104,13%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2023 г.</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100,00%</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105,27%</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110,29%</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115,34%</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120,10%</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124,94%</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129,98%</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Год</w:t>
            </w:r>
          </w:p>
        </w:tc>
        <w:tc>
          <w:tcPr>
            <w:tcW w:w="77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2031</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2032</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2034</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2035</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предыдущему году</w:t>
            </w:r>
          </w:p>
        </w:tc>
        <w:tc>
          <w:tcPr>
            <w:tcW w:w="77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r>
      <w:tr>
        <w:trPr>
          <w:trHeight w:val="20" w:hRule="atLeast"/>
        </w:trPr>
        <w:tc>
          <w:tcPr>
            <w:tcW w:w="5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3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2023 г.</w:t>
            </w:r>
          </w:p>
        </w:tc>
        <w:tc>
          <w:tcPr>
            <w:tcW w:w="77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135,21%</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140,66%</w:t>
            </w:r>
          </w:p>
        </w:tc>
        <w:tc>
          <w:tcPr>
            <w:tcW w:w="7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146,33%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152,23%</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158,36%</w:t>
            </w:r>
          </w:p>
        </w:tc>
        <w:tc>
          <w:tcPr>
            <w:tcW w:w="7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164,75%</w:t>
            </w:r>
          </w:p>
        </w:tc>
        <w:tc>
          <w:tcPr>
            <w:tcW w:w="7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171,39%</w:t>
            </w:r>
          </w:p>
        </w:tc>
      </w:tr>
    </w:tbl>
    <w:p>
      <w:pPr>
        <w:pStyle w:val="3"/>
        <w:rPr/>
      </w:pPr>
      <w:bookmarkStart w:id="111" w:name="_Toc158814599"/>
      <w:r>
        <w:rPr/>
        <w:t>Оценка величины необходимых капитальных вложений в строительство и реконструкцию объектов централизованных систем водоснабжения, выполненная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bookmarkEnd w:id="111"/>
    </w:p>
    <w:p>
      <w:pPr>
        <w:sectPr>
          <w:footerReference w:type="default" r:id="rId35"/>
          <w:footerReference w:type="first" r:id="rId36"/>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 xml:space="preserve">Оценка величины необходимых капитальных вложений в строительство и реконструкцию объектов централизованных систем водоснабжения, выполненная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 по ЦС ХВС Беловского ГО, приведена в таблице </w:t>
      </w:r>
      <w:r>
        <w:rPr/>
        <w:fldChar w:fldCharType="begin"/>
      </w:r>
      <w:r>
        <w:rPr/>
        <w:instrText xml:space="preserve"> REF _Ref156965152 \h </w:instrText>
      </w:r>
      <w:r>
        <w:rPr/>
        <w:fldChar w:fldCharType="separate"/>
      </w:r>
      <w:r>
        <w:rPr/>
        <w:t>Таблица 1.6.24</w:t>
      </w:r>
      <w:r>
        <w:rPr/>
        <w:fldChar w:fldCharType="end"/>
      </w:r>
      <w:r>
        <w:rPr/>
        <w:t xml:space="preserve">. </w:t>
      </w:r>
    </w:p>
    <w:p>
      <w:pPr>
        <w:pStyle w:val="Style34"/>
        <w:rPr/>
      </w:pPr>
      <w:bookmarkStart w:id="112" w:name="_Ref156965152"/>
      <w:r>
        <w:rPr/>
        <w:t xml:space="preserve">Таблица </w:t>
      </w:r>
      <w:r>
        <w:fldChar w:fldCharType="begin"/>
      </w:r>
      <w:r>
        <w:rPr/>
        <w:instrText xml:space="preserve">STYLEREF 2 \s</w:instrText>
      </w:r>
      <w:r>
        <w:rPr/>
      </w:r>
      <w:r>
        <w:rPr/>
        <w:fldChar w:fldCharType="separate"/>
      </w:r>
      <w:r>
        <w:rPr/>
        <w:t>1.6</w:t>
      </w:r>
      <w:r>
        <w:rPr/>
      </w:r>
      <w:r>
        <w:rPr/>
        <w:fldChar w:fldCharType="end"/>
      </w:r>
      <w:r>
        <w:rPr/>
        <w:t>.</w:t>
      </w:r>
      <w:r>
        <w:rPr/>
        <w:fldChar w:fldCharType="begin"/>
      </w:r>
      <w:r>
        <w:rPr/>
        <w:instrText xml:space="preserve"> SEQ Таблица \* ARABIC </w:instrText>
      </w:r>
      <w:r>
        <w:rPr/>
        <w:fldChar w:fldCharType="separate"/>
      </w:r>
      <w:r>
        <w:rPr/>
        <w:t>24</w:t>
      </w:r>
      <w:r>
        <w:rPr/>
        <w:fldChar w:fldCharType="end"/>
      </w:r>
      <w:bookmarkEnd w:id="112"/>
      <w:r>
        <w:rPr/>
        <w:t xml:space="preserve"> – Оценка величины необходимых капитальных вложений в строительство и реконструкцию объектов централизованных систем водоснабжения, выполненная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 по ЦС ХВС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29"/>
        <w:gridCol w:w="4671"/>
        <w:gridCol w:w="630"/>
        <w:gridCol w:w="632"/>
        <w:gridCol w:w="634"/>
        <w:gridCol w:w="632"/>
        <w:gridCol w:w="633"/>
        <w:gridCol w:w="632"/>
        <w:gridCol w:w="632"/>
        <w:gridCol w:w="630"/>
        <w:gridCol w:w="632"/>
        <w:gridCol w:w="632"/>
        <w:gridCol w:w="633"/>
        <w:gridCol w:w="632"/>
        <w:gridCol w:w="632"/>
        <w:gridCol w:w="633"/>
        <w:gridCol w:w="621"/>
      </w:tblGrid>
      <w:tr>
        <w:trPr>
          <w:tblHeader w:val="true"/>
          <w:trHeight w:val="20" w:hRule="atLeast"/>
        </w:trPr>
        <w:tc>
          <w:tcPr>
            <w:tcW w:w="42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 xml:space="preserve">№ </w:t>
            </w:r>
            <w:r>
              <w:rPr>
                <w:rFonts w:eastAsia="Times New Roman" w:cs="Times New Roman"/>
                <w:color w:val="000000"/>
                <w:sz w:val="16"/>
                <w:szCs w:val="16"/>
                <w:lang w:eastAsia="ru-RU"/>
              </w:rPr>
              <w:t>п.п.</w:t>
            </w:r>
          </w:p>
        </w:tc>
        <w:tc>
          <w:tcPr>
            <w:tcW w:w="467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Наименование мероприятия</w:t>
            </w:r>
          </w:p>
        </w:tc>
        <w:tc>
          <w:tcPr>
            <w:tcW w:w="9470" w:type="dxa"/>
            <w:gridSpan w:val="1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Объем финансирования в ценах лет реализации, тыс. руб. (с НДС)</w:t>
            </w:r>
          </w:p>
        </w:tc>
      </w:tr>
      <w:tr>
        <w:trPr>
          <w:tblHeader w:val="true"/>
          <w:trHeight w:val="20" w:hRule="atLeast"/>
        </w:trPr>
        <w:tc>
          <w:tcPr>
            <w:tcW w:w="42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467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63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2023</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63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2026</w:t>
            </w:r>
          </w:p>
        </w:tc>
        <w:tc>
          <w:tcPr>
            <w:tcW w:w="6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2027</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2029</w:t>
            </w:r>
          </w:p>
        </w:tc>
        <w:tc>
          <w:tcPr>
            <w:tcW w:w="63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2030</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2031</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2032</w:t>
            </w:r>
          </w:p>
        </w:tc>
        <w:tc>
          <w:tcPr>
            <w:tcW w:w="6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2033</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2034</w:t>
            </w:r>
          </w:p>
        </w:tc>
        <w:tc>
          <w:tcPr>
            <w:tcW w:w="6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2035</w:t>
            </w:r>
          </w:p>
        </w:tc>
        <w:tc>
          <w:tcPr>
            <w:tcW w:w="6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2036</w:t>
            </w:r>
          </w:p>
        </w:tc>
        <w:tc>
          <w:tcPr>
            <w:tcW w:w="62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Всего</w:t>
            </w:r>
          </w:p>
        </w:tc>
      </w:tr>
      <w:tr>
        <w:trPr>
          <w:tblHeader w:val="true"/>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объекта «Внутриквартальные сети водоснабжения, хозфекальной канализации квартала «Сосновый», Кемеровская область, Беловский городской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17 822,3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18 671,0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19 526,2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56 019,5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Тухачевского от дома № 7 до ВК-4523 до места установки пожарного гидранта у дома № 22, 874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5 183,3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5 430,1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5 678,8</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5 913,3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6 151,6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28 357,1</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Гражданская от дома № 12 до ВК-4531 до места установки пожарного гидранта у дома № 14 ВК-5312, 216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1 230,9</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1 289,5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1 348,5</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1 404,2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1 460,8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6 733,9</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Тухачевского от дома № 2 до ВК-5275 до дома № 6 ВК-4527, 130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786,7</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824,2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861,9</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897,5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933,7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4 304,1</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Железнодорожной от дома № 40 до ВК-5811 до дома № 56 ВК-5506, 410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2 481,2</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2 599,4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2 718,4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2 830,7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2 944,8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13 574,5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по ул. Октябрьской от дома № 41 ВК-5141 до ВК4493 на пересечении с ул. Юности, 510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3 306,9</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3 464,3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3 623,0</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3 772,6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3 924,7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18 091,5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в 3 мкр. от ВК-5635 до дома № 14 до ВК-5638, 180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1 167,1</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1 222,7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1 278,7</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1 331,5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1 385,2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6 385,3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перемычки между левой и правой ниткой водоводов от гидроузла № 7 до гидроузла № 3 от ВК-5480 у дома № 69 по ул. Советской до ВК-4995 у дома № 18 по ул. Юбилейной, 583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4 620,2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4 831,8</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5 031,4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5 234,2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19 717,6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на участке трубопровода Ду=326 мм от ВК-4776 у д. № 124 по ул.Ленина до пер.Советский (ВК-4963) с увеличением диаметра до 400 мм, 1 270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15 380,7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16 085,1</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16 749,5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17 424,5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65 639,8</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(левая нитка) пер. Советский от ул. Октябрьская (ВК-4963) до ул. 1 Мая (ВК-3556) и по ул. 1 Мая до пер. Банковский (ВК-3134) с увеличением диаметра до 400 мм, 1 660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20 103,9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21 024,7</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21 893,0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22 775,3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85 797,0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Ду=400 мм (левая нитка) от пер. Банковский (ВК-3134) до гидроузла № 3 с увеличением диаметра, 1 090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13 200,8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13 805,4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14 375,5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14 954,9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56 336,6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скважины 1ц, 1цр, 3ц до насосной станции подкачки, 1 272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8 843,0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9 264,1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9 688,4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10 088,5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10 495,1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48 379,2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скважины 1ц, 1цр, 3ц до насосной станции подкачки, 2 505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15 159,6</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15 881,5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16 608,9</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17 294,8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17 991,8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82 936,7</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от скважины 9, 11, 27, 3 до насосной станции подкачки № 3, 699 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5 396,3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5 653,2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5 912,2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6 156,3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6 404,4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29 522,4</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гидроузла № 2 в сторону гидроузла № 7 с переходом через р. Уроп, протяженностью 1 300 м, Кемеровская область – Кузбасс</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20 589,0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21 569,4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22 557,3</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23 488,9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24 435,6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112 640,2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в 1 500 м от реки Черновой Уроп до реконструированного участка на 12 км, протяжѐнностью 2 508 м, Кемеровская область – Кузбасс, Беловский муниципальный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39 720,9</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41 612,4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43 518,2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45 315,6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47 141,8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217 309,0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водопровода Ду 400 (левая нитка), участок по ул. Октябрьская от железнодорождных путей (ВК-4777) до пер. Советский (ВК-4963)</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15 380,7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16 085,1</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16 749,5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17 424,5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65 639,8</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магистрального водопровода Ду 400 мм от остановки "Поворот на пос. Старо-Белово" (ВК-4345) по ул. Озерная до пер. Пионерский (ВК-4819)</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37 349,7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39 060,3</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40 673,5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42 312,7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159 396,3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колодца у после перехода через автодорогу I категории «Ленинск – Кузнецкий - Новокузнецк» до врезки магистрального водопровода на пгт. Инской, протяженностью 1 443 м, Кемеровская область –Кузбасс, Беловский городской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29 927,6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31 298,3</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32 590,9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33 904,3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127 721,1</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объекта: «Водоснабжение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магистрального водовода на 4 км в сторону г/у №2 с переходом через ручей Менчереп, протяженностью L=1 500 м, с обустройством дюкера. Кемеровская область - Кузбасс, Беловский муниципальный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194 780,6</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194 780,6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насосно-фильтровальной станции очистки воды в пгт. Инской</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150 000,0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140 335,3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290 335,3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 xml:space="preserve">Демонтаж участков водопроводной сети, в т.ч.: </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Фрунзе (L=112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110,8</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116,1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226,9</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Калинина (L=350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349,4</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366,1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715,5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Орджоникидзе (L=330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329,5</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345,2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674,6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Фрунзе (L=270 м, Ду=80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269,6</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282,4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552,0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Советская (L=450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449,3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470,7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920,0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Матросова (L=640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639,0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669,4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1 308,4</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Пионерская (L=640 м, Ду=50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639,0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669,4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1 308,4</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22.8</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Комсомольская 1 до ул. Пионерская (L=85 м, Ду=80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84,9</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88,9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173,8</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22.9</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Комсомольская до ул. Орджоникидзе (L=640 м, Ду=200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825,4</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864,7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1 690,0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22.10</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Спортивная до ул. Шевцова 22а (L=425 м, Ду=80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424,3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444,5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868,9</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22.11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Певцова 22а до ул. Зеленовского (L=2100 м, Ду=400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4 597,7</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4 816,6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9 414,3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Бурение дополнительных водозаборных скважин на Инском водозаборе</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7 918,7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8 281,4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8 623,4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8 971,0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9 332,5</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9 708,6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52 835,6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Внедрение АСУТП</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32 805,0</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32 805,0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65 610,0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Бурение дополнительных водозаборных скважин на Бунгарапском месторождении</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14 253,7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14 906,5</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15 522,2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16 147,7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16 798,5</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17 475,5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95 104,2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водовода от НСП № 3 до НС II-водоподъема "Худяки" (2-я нитка) (L=9750 м, Ду=600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95 502,6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99 876,6</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104 001,5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108 192,9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112 553,1</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117 089,1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637 215,7</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водовода от НС II- водоподъема "Худяки" до гидроузла № 2 (2-я нитка) (L=13000 м, Ду=530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103 919,4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108 678,8</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113 167,4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117 728,1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122 472,6</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127 408,3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693 374,5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водоводов от дополнительных водозаборных скважин на Бунгарапском месторождении до проектируемой НСП № 4 (L=8600 м, Ду=400 мм, L=8600 м, Ду=300 мм, L=8600 м, Ду=110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352 976,6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367 201,8</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382 000,2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1 102 178,6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двух ниток водовода от проектируемой НСП № 4 до НСП № 3 (L=1762 м, Ду=500 мм, L=27438 м, Ду=400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217 196,9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227 144,4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236 525,6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246 057,7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255 974,0</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266 289,9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1 449 188,5</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30</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резервного водовода от гидроузла № 7 до гидроузла № 5 (L=24393 м, Ду=500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194 992,7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203 923,3</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212 345,5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220 903,1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229 805,7</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239 067,0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1 301 037,3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резервного водовода от ВК-89 до пгт. Инской (L=3565 м, Ду=300 мм)</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35 953,5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37 402,5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38 909,8</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40 477,9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152 743,8</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ветхих и аварийных водопроводных сетей, выработавших свой срок службы в 2024–2036 гг. ООО "Водоснабжение"</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277 807,8</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291 037,0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304 366,4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316 936,9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329 709,7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342 997,2</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356 820,2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371 200,3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386 159,9</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401 722,4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417 912,0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434 754,2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452 275,0</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4 683 699,0</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ветхих и аварийных водопроводных сетей, выработавших свой срок службы в 2024–2036 гг. МУП "Водоканал"</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53 925,1</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56 493,0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59 080,4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61 520,4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63 999,8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66 579,0</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69 262,2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72 053,5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74 957,3</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77 978,1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81 120,7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84 389,9</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87 790,9</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909 150,2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Установка регуляторов давления</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55,3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58,0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60,6</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63,1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68,3</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71,1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442,2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Капитальный ремонт водопровода от дома №35 до дома №48 по ул. Советской, Кемеровская область-Кузбасс, Беловский городской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12 395,7</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12 395,7</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Капитальный ремонт уличных сетей водопровода по ул. Южная, ул. Пархоменко, ул. Енисейская, ул. Крестьянская, ул. Омская, ул. Волжская, ул. Энтузиастов, ул. Физкультурная, ул. Аграрная Ду-110 мм, Ду-75 мм, Ду-63 мм, Lобщ=4858 м. в микрорайоне Чертинский, Беловский городской округ</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138 415,2</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138 415,2</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Мероприятия на водопроводных сетях в районе Старо-Белово, в т.ч.:</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37.1</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Ду=100 мм протяженностью 252,32 м от т. 1 до т. 3 (организация нового ввода в район)</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1 311,7</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1 374,1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1 437,0</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1 496,4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1 556,7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7 175,9</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37.2</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82,44 м от т. 6 до т. 7 (организация нового ввода в район)</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391,5</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410,1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428,9</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446,6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464,6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2 141,7</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37.3</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36,44 м от т. 4 до т. 5 (организация нового ввода в район)</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173,0</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181,3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189,6</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197,4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205,4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946,6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37.4</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52,71 м от т. 8 до т. 9 (организация кольца)</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250,3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262,2</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274,2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285,5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297,1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1 369,3</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37.5</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16,69 м от т. 10 до т. 14 (организация кольца)</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79,3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83,0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86,8</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90,4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94,1</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433,6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37.6</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Замена трубопровода Ду=50 мм протяженностью 72,35 м на трубопровод Ду=100 мм от т. 12 до т. 13 (увеличение пропускной способности существующего ввода в район)</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412,3</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431,9</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451,7</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470,4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489,3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2 255,6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37.7</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Замена трубопровода Ду=50 мм протяженностью 79,42 м на трубопровод Ду=80 мм от т. 10 до т. 12 (увеличение пропускной способности существующего трубопровода)</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428,4</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448,8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469,4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488,8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508,5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2 343,9</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38</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Перевод гидроузлов №№ 2, 7, 3, 5 на схему эл. снабжения 1 категории</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2 402,0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2 498,8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2 599,5</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2 704,3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10 204,6</w:t>
            </w:r>
          </w:p>
        </w:tc>
      </w:tr>
      <w:tr>
        <w:trPr>
          <w:trHeight w:val="20" w:hRule="atLeast"/>
        </w:trPr>
        <w:tc>
          <w:tcPr>
            <w:tcW w:w="42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6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Итого по ЦС ХВС Беловского ГО</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960 832,2</w:t>
            </w:r>
          </w:p>
        </w:tc>
        <w:tc>
          <w:tcPr>
            <w:tcW w:w="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1 397 478,4</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1 305 167,4</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1 377 094,6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1 785 569,0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1 598 097,0</w:t>
            </w:r>
          </w:p>
        </w:tc>
        <w:tc>
          <w:tcPr>
            <w:tcW w:w="63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1 661 179,3</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443 253,8</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461 117,2</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479 700,5</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499 032,7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519 144,1</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540 065,9</w:t>
            </w:r>
          </w:p>
        </w:tc>
        <w:tc>
          <w:tcPr>
            <w:tcW w:w="6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13 027 731,9</w:t>
            </w:r>
          </w:p>
        </w:tc>
      </w:tr>
    </w:tbl>
    <w:p>
      <w:pPr>
        <w:sectPr>
          <w:footerReference w:type="default" r:id="rId37"/>
          <w:footerReference w:type="first" r:id="rId38"/>
          <w:type w:val="nextPage"/>
          <w:pgSz w:orient="landscape" w:w="16838" w:h="11906"/>
          <w:pgMar w:left="1134" w:right="1134" w:gutter="0" w:header="0" w:top="1701" w:footer="708" w:bottom="850"/>
          <w:pgNumType w:fmt="decimal"/>
          <w:formProt w:val="false"/>
          <w:textDirection w:val="lrTb"/>
          <w:docGrid w:type="default" w:linePitch="360" w:charSpace="0"/>
        </w:sectPr>
        <w:pStyle w:val="Style34"/>
        <w:rPr/>
      </w:pPr>
      <w:r>
        <w:rPr/>
      </w:r>
    </w:p>
    <w:p>
      <w:pPr>
        <w:pStyle w:val="Normal"/>
        <w:rPr/>
      </w:pPr>
      <w:r>
        <w:rPr/>
        <w:t>Для мероприятий, не имеющих утвержденных источников финансирования, источниками могут являться:</w:t>
      </w:r>
    </w:p>
    <w:p>
      <w:pPr>
        <w:pStyle w:val="Style31"/>
        <w:numPr>
          <w:ilvl w:val="0"/>
          <w:numId w:val="121"/>
        </w:numPr>
        <w:rPr/>
      </w:pPr>
      <w:r>
        <w:rPr/>
        <w:t>бюджетные средства, выделяемые в рамках муниципальных, региональных и (или) федеральных программам по развитию жилищно-коммунального сектора;</w:t>
      </w:r>
    </w:p>
    <w:p>
      <w:pPr>
        <w:pStyle w:val="Style31"/>
        <w:numPr>
          <w:ilvl w:val="0"/>
          <w:numId w:val="2"/>
        </w:numPr>
        <w:rPr/>
      </w:pPr>
      <w:r>
        <w:rPr/>
        <w:t>собственные средства организаций, осуществляющих эксплуатацию объектов централизованных систем водоснабжения, в виде амортизационных отчислений, расходов на капитальные вложения, возмещаемых за счет прибыли;</w:t>
      </w:r>
    </w:p>
    <w:p>
      <w:pPr>
        <w:pStyle w:val="Style31"/>
        <w:numPr>
          <w:ilvl w:val="0"/>
          <w:numId w:val="2"/>
        </w:numPr>
        <w:rPr/>
      </w:pPr>
      <w:r>
        <w:rPr/>
        <w:t>средства абонентов, вносимые в качестве платы за подключение перспективных объектов капитального к централизованным системам водоснабжения.</w:t>
      </w:r>
    </w:p>
    <w:p>
      <w:pPr>
        <w:pStyle w:val="2"/>
        <w:rPr/>
      </w:pPr>
      <w:bookmarkStart w:id="113" w:name="_Плановые_значения_показателей"/>
      <w:bookmarkStart w:id="114" w:name="_Toc158814600"/>
      <w:bookmarkEnd w:id="113"/>
      <w:r>
        <w:rPr/>
        <w:t>Плановые значения показателей развития централизованных систем водоснабжения</w:t>
      </w:r>
      <w:bookmarkEnd w:id="114"/>
    </w:p>
    <w:p>
      <w:pPr>
        <w:pStyle w:val="Normal"/>
        <w:rPr/>
      </w:pPr>
      <w:r>
        <w:rPr/>
        <w:t>В соответствии с пунктами 2, 3, 5, 8 [</w:t>
      </w:r>
      <w:r>
        <w:rPr/>
        <w:fldChar w:fldCharType="begin"/>
      </w:r>
      <w:r>
        <w:rPr/>
        <w:instrText xml:space="preserve"> REF _Ref156560288 \n \h </w:instrText>
      </w:r>
      <w:r>
        <w:rPr/>
        <w:fldChar w:fldCharType="separate"/>
      </w:r>
      <w:r>
        <w:rPr/>
        <w:t>20</w:t>
      </w:r>
      <w:r>
        <w:rPr/>
        <w:fldChar w:fldCharType="end"/>
      </w:r>
      <w:r>
        <w:rPr/>
        <w:t>], к показателям развития ЦС ХВС относятся:</w:t>
      </w:r>
    </w:p>
    <w:p>
      <w:pPr>
        <w:pStyle w:val="Style31"/>
        <w:numPr>
          <w:ilvl w:val="0"/>
          <w:numId w:val="122"/>
        </w:numPr>
        <w:rPr/>
      </w:pPr>
      <w:r>
        <w:rPr/>
        <w:t>показатели качества воды:</w:t>
      </w:r>
    </w:p>
    <w:p>
      <w:pPr>
        <w:pStyle w:val="Style31"/>
        <w:numPr>
          <w:ilvl w:val="1"/>
          <w:numId w:val="123"/>
        </w:numPr>
        <w:rPr/>
      </w:pPr>
      <w:r>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p>
      <w:pPr>
        <w:pStyle w:val="Style31"/>
        <w:numPr>
          <w:ilvl w:val="1"/>
          <w:numId w:val="124"/>
        </w:numPr>
        <w:rPr/>
      </w:pPr>
      <w:r>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p>
      <w:pPr>
        <w:pStyle w:val="Style31"/>
        <w:numPr>
          <w:ilvl w:val="0"/>
          <w:numId w:val="2"/>
        </w:numPr>
        <w:rPr/>
      </w:pPr>
      <w:r>
        <w:rPr/>
        <w:t>показатели надежности и бесперебойности водоснабжения:</w:t>
      </w:r>
    </w:p>
    <w:p>
      <w:pPr>
        <w:pStyle w:val="Style31"/>
        <w:numPr>
          <w:ilvl w:val="1"/>
          <w:numId w:val="2"/>
        </w:numPr>
        <w:rPr/>
      </w:pPr>
      <w:r>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p>
      <w:pPr>
        <w:pStyle w:val="Style31"/>
        <w:numPr>
          <w:ilvl w:val="0"/>
          <w:numId w:val="2"/>
        </w:numPr>
        <w:rPr/>
      </w:pPr>
      <w:r>
        <w:rPr/>
        <w:t>показатели эффективности использования ресурсов:</w:t>
      </w:r>
    </w:p>
    <w:p>
      <w:pPr>
        <w:pStyle w:val="Style31"/>
        <w:numPr>
          <w:ilvl w:val="1"/>
          <w:numId w:val="2"/>
        </w:numPr>
        <w:rPr/>
      </w:pPr>
      <w:r>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p>
      <w:pPr>
        <w:pStyle w:val="Style31"/>
        <w:numPr>
          <w:ilvl w:val="1"/>
          <w:numId w:val="2"/>
        </w:numPr>
        <w:rPr/>
      </w:pPr>
      <w:r>
        <w:rPr/>
        <w:t xml:space="preserve">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 (кВт*ч/куб. м). </w:t>
      </w:r>
    </w:p>
    <w:p>
      <w:pPr>
        <w:sectPr>
          <w:footerReference w:type="default" r:id="rId39"/>
          <w:footerReference w:type="first" r:id="rId40"/>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 xml:space="preserve">Фактические и плановые значения показателей развития ЦС ХВС Беловского ГО при реализации мероприятий по первому (приоритетному) сценарию развития, описанному в составе </w:t>
      </w:r>
      <w:hyperlink w:anchor="_Различные_сценарии_развития">
        <w:r>
          <w:rPr>
            <w:rStyle w:val="-"/>
          </w:rPr>
          <w:t>подраздела 1.2.2</w:t>
        </w:r>
      </w:hyperlink>
      <w:r>
        <w:rPr/>
        <w:t xml:space="preserve"> настоящей работы, приведены в таблице </w:t>
      </w:r>
      <w:r>
        <w:rPr/>
        <w:fldChar w:fldCharType="begin"/>
      </w:r>
      <w:r>
        <w:rPr/>
        <w:instrText xml:space="preserve"> REF _Ref156956459 \h </w:instrText>
      </w:r>
      <w:r>
        <w:rPr/>
        <w:fldChar w:fldCharType="separate"/>
      </w:r>
      <w:r>
        <w:rPr/>
        <w:t>Таблица 1.7.25</w:t>
      </w:r>
      <w:r>
        <w:rPr/>
        <w:fldChar w:fldCharType="end"/>
      </w:r>
      <w:r>
        <w:rPr/>
        <w:t xml:space="preserve">. </w:t>
      </w:r>
    </w:p>
    <w:p>
      <w:pPr>
        <w:pStyle w:val="Style34"/>
        <w:rPr/>
      </w:pPr>
      <w:bookmarkStart w:id="115" w:name="_Ref156956459"/>
      <w:r>
        <w:rPr/>
        <w:t xml:space="preserve">Таблица </w:t>
      </w:r>
      <w:r>
        <w:fldChar w:fldCharType="begin"/>
      </w:r>
      <w:r>
        <w:rPr/>
        <w:instrText xml:space="preserve">STYLEREF 2 \s</w:instrText>
      </w:r>
      <w:r>
        <w:rPr/>
      </w:r>
      <w:r>
        <w:rPr/>
        <w:fldChar w:fldCharType="separate"/>
      </w:r>
      <w:r>
        <w:rPr/>
        <w:t>1.7</w:t>
      </w:r>
      <w:r>
        <w:rPr/>
      </w:r>
      <w:r>
        <w:rPr/>
        <w:fldChar w:fldCharType="end"/>
      </w:r>
      <w:r>
        <w:rPr/>
        <w:t>.</w:t>
      </w:r>
      <w:r>
        <w:rPr/>
        <w:fldChar w:fldCharType="begin"/>
      </w:r>
      <w:r>
        <w:rPr/>
        <w:instrText xml:space="preserve"> SEQ Таблица \* ARABIC </w:instrText>
      </w:r>
      <w:r>
        <w:rPr/>
        <w:fldChar w:fldCharType="separate"/>
      </w:r>
      <w:r>
        <w:rPr/>
        <w:t>25</w:t>
      </w:r>
      <w:r>
        <w:rPr/>
        <w:fldChar w:fldCharType="end"/>
      </w:r>
      <w:bookmarkEnd w:id="115"/>
      <w:r>
        <w:rPr/>
        <w:t xml:space="preserve"> – Фактические и плановые значения показателей развития ЦС ХВС Беловского ГО при реализации мероприятий по первому (приоритетному) сценарию развития</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55"/>
        <w:gridCol w:w="4728"/>
        <w:gridCol w:w="786"/>
        <w:gridCol w:w="572"/>
        <w:gridCol w:w="574"/>
        <w:gridCol w:w="573"/>
        <w:gridCol w:w="574"/>
        <w:gridCol w:w="574"/>
        <w:gridCol w:w="573"/>
        <w:gridCol w:w="574"/>
        <w:gridCol w:w="572"/>
        <w:gridCol w:w="574"/>
        <w:gridCol w:w="573"/>
        <w:gridCol w:w="574"/>
        <w:gridCol w:w="573"/>
        <w:gridCol w:w="574"/>
        <w:gridCol w:w="572"/>
        <w:gridCol w:w="571"/>
      </w:tblGrid>
      <w:tr>
        <w:trPr>
          <w:tblHeader w:val="true"/>
          <w:trHeight w:val="20" w:hRule="atLeast"/>
        </w:trPr>
        <w:tc>
          <w:tcPr>
            <w:tcW w:w="45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72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78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 изм.</w:t>
            </w:r>
          </w:p>
        </w:tc>
        <w:tc>
          <w:tcPr>
            <w:tcW w:w="8597" w:type="dxa"/>
            <w:gridSpan w:val="1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Значение показателя</w:t>
            </w:r>
          </w:p>
        </w:tc>
      </w:tr>
      <w:tr>
        <w:trPr>
          <w:tblHeader w:val="true"/>
          <w:trHeight w:val="20" w:hRule="atLeast"/>
        </w:trPr>
        <w:tc>
          <w:tcPr>
            <w:tcW w:w="4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72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8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5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2022</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2023</w:t>
            </w:r>
          </w:p>
        </w:tc>
        <w:tc>
          <w:tcPr>
            <w:tcW w:w="5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c>
          <w:tcPr>
            <w:tcW w:w="5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c>
          <w:tcPr>
            <w:tcW w:w="5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c>
          <w:tcPr>
            <w:tcW w:w="5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2031</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2032</w:t>
            </w:r>
          </w:p>
        </w:tc>
        <w:tc>
          <w:tcPr>
            <w:tcW w:w="5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2033</w:t>
            </w:r>
          </w:p>
        </w:tc>
        <w:tc>
          <w:tcPr>
            <w:tcW w:w="57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2034</w:t>
            </w:r>
          </w:p>
        </w:tc>
        <w:tc>
          <w:tcPr>
            <w:tcW w:w="57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2035</w:t>
            </w:r>
          </w:p>
        </w:tc>
        <w:tc>
          <w:tcPr>
            <w:tcW w:w="5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blHeader w:val="true"/>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«Водоснабжение»</w:t>
            </w:r>
          </w:p>
        </w:tc>
        <w:tc>
          <w:tcPr>
            <w:tcW w:w="78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47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надежности и бесперебойности водоснабжения</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ед./км</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энергетической эффективности</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19,5%</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19,1%</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18,7%</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кВт·ч/м³</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2,9</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4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МУП «Водоканал»</w:t>
            </w:r>
          </w:p>
        </w:tc>
        <w:tc>
          <w:tcPr>
            <w:tcW w:w="78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47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надежности и бесперебойности водоснабжения</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ед./км</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энергетической эффективности</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17,6%</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16,9%</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16,6%</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16,2%</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16,1%</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15,8%</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2.3.2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кВт·ч/м³</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4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ТЗ ВС ООО «ЭК»</w:t>
            </w:r>
          </w:p>
        </w:tc>
        <w:tc>
          <w:tcPr>
            <w:tcW w:w="78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472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0,0%</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надежности и бесперебойности водоснабжения</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ед./км</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0,4</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0,3</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Показатели энергетической эффективности</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3.3.1</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13,3%</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12,2%</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11,9%</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11,7%</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11,4%</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11,3%</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11,1%</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10,9%</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10,7%</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w:t>
            </w:r>
          </w:p>
        </w:tc>
      </w:tr>
      <w:tr>
        <w:trPr>
          <w:trHeight w:val="20" w:hRule="atLeast"/>
        </w:trPr>
        <w:tc>
          <w:tcPr>
            <w:tcW w:w="45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3.3.2</w:t>
            </w:r>
          </w:p>
        </w:tc>
        <w:tc>
          <w:tcPr>
            <w:tcW w:w="47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7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кВт·ч/м³</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r>
    </w:tbl>
    <w:p>
      <w:pPr>
        <w:sectPr>
          <w:footerReference w:type="default" r:id="rId41"/>
          <w:footerReference w:type="first" r:id="rId42"/>
          <w:type w:val="nextPage"/>
          <w:pgSz w:orient="landscape" w:w="16838" w:h="11906"/>
          <w:pgMar w:left="1134" w:right="1134" w:gutter="0" w:header="0" w:top="1701" w:footer="708" w:bottom="850"/>
          <w:pgNumType w:fmt="decimal"/>
          <w:formProt w:val="false"/>
          <w:textDirection w:val="lrTb"/>
          <w:docGrid w:type="default" w:linePitch="360" w:charSpace="0"/>
        </w:sectPr>
      </w:pPr>
    </w:p>
    <w:p>
      <w:pPr>
        <w:pStyle w:val="3"/>
        <w:rPr/>
      </w:pPr>
      <w:bookmarkStart w:id="116" w:name="_Toc158814601"/>
      <w:r>
        <w:rPr/>
        <w:t>Показатели качества воды</w:t>
      </w:r>
      <w:bookmarkEnd w:id="116"/>
    </w:p>
    <w:p>
      <w:pPr>
        <w:pStyle w:val="Normal"/>
        <w:rPr/>
      </w:pPr>
      <w:r>
        <w:rPr/>
        <w:t xml:space="preserve">Показатели качества воды на территории Беловского ГО приведены в начале </w:t>
      </w:r>
      <w:hyperlink w:anchor="_Плановые_значения_показателей">
        <w:r>
          <w:rPr>
            <w:rStyle w:val="-"/>
          </w:rPr>
          <w:t>раздела 1.7</w:t>
        </w:r>
      </w:hyperlink>
      <w:r>
        <w:rPr/>
        <w:t>.</w:t>
      </w:r>
    </w:p>
    <w:p>
      <w:pPr>
        <w:pStyle w:val="3"/>
        <w:rPr/>
      </w:pPr>
      <w:bookmarkStart w:id="117" w:name="_Toc158814602"/>
      <w:r>
        <w:rPr/>
        <w:t>Показатели надежности и бесперебойности водоснабжения</w:t>
      </w:r>
      <w:bookmarkEnd w:id="117"/>
    </w:p>
    <w:p>
      <w:pPr>
        <w:pStyle w:val="Normal"/>
        <w:rPr/>
      </w:pPr>
      <w:r>
        <w:rPr/>
        <w:t xml:space="preserve">Показатели надежности и бесперебойности водоснабжения на территории Беловского ГО приведены в начале </w:t>
      </w:r>
      <w:hyperlink w:anchor="_Плановые_значения_показателей">
        <w:r>
          <w:rPr>
            <w:rStyle w:val="-"/>
          </w:rPr>
          <w:t>раздела 1.7</w:t>
        </w:r>
      </w:hyperlink>
      <w:r>
        <w:rPr/>
        <w:t>.</w:t>
      </w:r>
    </w:p>
    <w:p>
      <w:pPr>
        <w:pStyle w:val="3"/>
        <w:rPr/>
      </w:pPr>
      <w:bookmarkStart w:id="118" w:name="_Toc158814603"/>
      <w:r>
        <w:rPr/>
        <w:t>Показатели эффективности использования ресурсов, в том числе уровень потерь воды (тепловой энергии в составе горячей воды)</w:t>
      </w:r>
      <w:bookmarkEnd w:id="118"/>
    </w:p>
    <w:p>
      <w:pPr>
        <w:pStyle w:val="Normal"/>
        <w:rPr/>
      </w:pPr>
      <w:r>
        <w:rPr/>
        <w:t xml:space="preserve">Показатели эффективности использования ресурсов, в том числе уровень потерь воды на территории Беловского ГО приведены в начале </w:t>
      </w:r>
      <w:hyperlink w:anchor="_Плановые_значения_показателей">
        <w:r>
          <w:rPr>
            <w:rStyle w:val="-"/>
          </w:rPr>
          <w:t>раздела 1.7</w:t>
        </w:r>
      </w:hyperlink>
      <w:r>
        <w:rPr/>
        <w:t>.</w:t>
      </w:r>
    </w:p>
    <w:p>
      <w:pPr>
        <w:pStyle w:val="3"/>
        <w:rPr/>
      </w:pPr>
      <w:bookmarkStart w:id="119" w:name="_Toc158814604"/>
      <w:r>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End w:id="119"/>
    </w:p>
    <w:p>
      <w:pPr>
        <w:pStyle w:val="Normal"/>
        <w:rPr/>
      </w:pPr>
      <w:r>
        <w:rPr/>
        <w:t xml:space="preserve">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 иные показатели функционирования в сфере централизованного водоснабжения на момент выполнения настоящей работы не установлены. </w:t>
      </w:r>
    </w:p>
    <w:p>
      <w:pPr>
        <w:pStyle w:val="2"/>
        <w:rPr/>
      </w:pPr>
      <w:bookmarkStart w:id="120" w:name="_Toc158814605"/>
      <w:r>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120"/>
    </w:p>
    <w:p>
      <w:pPr>
        <w:pStyle w:val="3"/>
        <w:rPr/>
      </w:pPr>
      <w:bookmarkStart w:id="121" w:name="_Toc158814606"/>
      <w:r>
        <w:rPr/>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21"/>
    </w:p>
    <w:p>
      <w:pPr>
        <w:pStyle w:val="Normal"/>
        <w:rPr/>
      </w:pPr>
      <w:r>
        <w:rPr/>
        <w:t>В соответствии с [</w:t>
      </w:r>
      <w:r>
        <w:rPr/>
        <w:fldChar w:fldCharType="begin"/>
      </w:r>
      <w:r>
        <w:rPr/>
        <w:instrText xml:space="preserve"> REF _Ref154925037 \n \h </w:instrText>
      </w:r>
      <w:r>
        <w:rPr/>
        <w:fldChar w:fldCharType="separate"/>
      </w:r>
      <w:r>
        <w:rPr/>
        <w:t>2</w:t>
      </w:r>
      <w:r>
        <w:rPr/>
        <w:fldChar w:fldCharType="end"/>
      </w:r>
      <w:r>
        <w:rPr/>
        <w:t>] по вопросам эксплуатации бесхозяйных объектов определено следующее:</w:t>
      </w:r>
    </w:p>
    <w:p>
      <w:pPr>
        <w:pStyle w:val="Style31"/>
        <w:numPr>
          <w:ilvl w:val="0"/>
          <w:numId w:val="125"/>
        </w:numPr>
        <w:rPr/>
      </w:pPr>
      <w:r>
        <w:rPr/>
        <w:t>пункт 5 статьи 8 главы 3: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pPr>
        <w:pStyle w:val="Style31"/>
        <w:numPr>
          <w:ilvl w:val="0"/>
          <w:numId w:val="2"/>
        </w:numPr>
        <w:rPr/>
      </w:pPr>
      <w:r>
        <w:rPr/>
        <w:t>пункт 6 статьи 8 главы 3: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pPr>
        <w:pStyle w:val="Style31"/>
        <w:numPr>
          <w:ilvl w:val="0"/>
          <w:numId w:val="2"/>
        </w:numPr>
        <w:rPr/>
      </w:pPr>
      <w:r>
        <w:rPr/>
        <w:t xml:space="preserve">пункт 7 статьи 8 главы 3: «В случае, 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 </w:t>
      </w:r>
    </w:p>
    <w:p>
      <w:pPr>
        <w:pStyle w:val="Normal"/>
        <w:rPr/>
      </w:pPr>
      <w:r>
        <w:rPr/>
        <w:t>На территории Беловского ГО бесхозяйные объекты централизованных систем водоснабжения не выявлены (отсутствуют).</w:t>
      </w:r>
    </w:p>
    <w:p>
      <w:pPr>
        <w:pStyle w:val="1"/>
        <w:rPr/>
      </w:pPr>
      <w:r>
        <w:rPr/>
        <w:t xml:space="preserve"> </w:t>
      </w:r>
      <w:bookmarkStart w:id="122" w:name="_Toc158814607"/>
      <w:r>
        <w:rPr/>
        <w:t>«Схема водоотведения»</w:t>
      </w:r>
      <w:bookmarkEnd w:id="122"/>
    </w:p>
    <w:p>
      <w:pPr>
        <w:pStyle w:val="2"/>
        <w:pageBreakBefore w:val="false"/>
        <w:rPr/>
      </w:pPr>
      <w:bookmarkStart w:id="123" w:name="_Toc158814608"/>
      <w:r>
        <w:rPr/>
        <w:t>Существующее положение в сфере водоотведения поселения, городского округа</w:t>
      </w:r>
      <w:bookmarkEnd w:id="123"/>
    </w:p>
    <w:p>
      <w:pPr>
        <w:pStyle w:val="3"/>
        <w:rPr/>
      </w:pPr>
      <w:bookmarkStart w:id="124" w:name="_Toc158814609"/>
      <w:r>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124"/>
    </w:p>
    <w:p>
      <w:pPr>
        <w:pStyle w:val="Normal"/>
        <w:rPr/>
      </w:pPr>
      <w:r>
        <w:rPr/>
        <w:t xml:space="preserve">Перечень организаций ВКХ, осуществляющих эксплуатацию объектов ЦС ВО на территории Беловского ГО приведен в таблице </w:t>
      </w:r>
      <w:r>
        <w:rPr/>
        <w:fldChar w:fldCharType="begin"/>
      </w:r>
      <w:r>
        <w:rPr/>
        <w:instrText xml:space="preserve"> REF _Ref158705730 \h </w:instrText>
      </w:r>
      <w:r>
        <w:rPr/>
        <w:fldChar w:fldCharType="separate"/>
      </w:r>
      <w:r>
        <w:rPr/>
        <w:t>Таблица 2.1.26</w:t>
      </w:r>
      <w:r>
        <w:rPr/>
        <w:fldChar w:fldCharType="end"/>
      </w:r>
      <w:r>
        <w:rPr/>
        <w:t xml:space="preserve">. </w:t>
      </w:r>
    </w:p>
    <w:p>
      <w:pPr>
        <w:pStyle w:val="Style34"/>
        <w:rPr/>
      </w:pPr>
      <w:bookmarkStart w:id="125" w:name="_Ref158705730"/>
      <w:r>
        <w:rPr/>
        <w:t xml:space="preserve">Таблица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Таблица \* ARABIC </w:instrText>
      </w:r>
      <w:r>
        <w:rPr/>
        <w:fldChar w:fldCharType="separate"/>
      </w:r>
      <w:r>
        <w:rPr/>
        <w:t>26</w:t>
      </w:r>
      <w:r>
        <w:rPr/>
        <w:fldChar w:fldCharType="end"/>
      </w:r>
      <w:bookmarkEnd w:id="125"/>
      <w:r>
        <w:rPr/>
        <w:t xml:space="preserve"> – Перечень организаций ВКХ, осуществляющих эксплуатацию объектов ЦС ВО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26"/>
        <w:gridCol w:w="1778"/>
        <w:gridCol w:w="1780"/>
        <w:gridCol w:w="2477"/>
        <w:gridCol w:w="1194"/>
        <w:gridCol w:w="1599"/>
      </w:tblGrid>
      <w:tr>
        <w:trPr>
          <w:tblHeader w:val="true"/>
          <w:trHeight w:val="20" w:hRule="atLeast"/>
        </w:trPr>
        <w:tc>
          <w:tcPr>
            <w:tcW w:w="5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17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Полное наименование</w:t>
            </w:r>
          </w:p>
        </w:tc>
        <w:tc>
          <w:tcPr>
            <w:tcW w:w="17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Сокращенное наименование</w:t>
            </w:r>
          </w:p>
        </w:tc>
        <w:tc>
          <w:tcPr>
            <w:tcW w:w="24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Юридический адрес</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ИНН</w:t>
            </w:r>
          </w:p>
        </w:tc>
        <w:tc>
          <w:tcPr>
            <w:tcW w:w="159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Виды осуществляемой регулируемой деятельности в сфере водоотведения</w:t>
            </w:r>
          </w:p>
        </w:tc>
      </w:tr>
      <w:tr>
        <w:trPr>
          <w:tblHeader w:val="true"/>
          <w:trHeight w:val="20" w:hRule="atLeast"/>
        </w:trPr>
        <w:tc>
          <w:tcPr>
            <w:tcW w:w="5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7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7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4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1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5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r>
      <w:tr>
        <w:trPr>
          <w:trHeight w:val="20" w:hRule="atLeast"/>
        </w:trPr>
        <w:tc>
          <w:tcPr>
            <w:tcW w:w="5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7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«Беловские городские очистные сооружения»</w:t>
            </w:r>
          </w:p>
        </w:tc>
        <w:tc>
          <w:tcPr>
            <w:tcW w:w="17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«БелГОС»</w:t>
            </w:r>
          </w:p>
        </w:tc>
        <w:tc>
          <w:tcPr>
            <w:tcW w:w="24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652600, 42 42, город Белово, Кузбасская ул., д.6</w:t>
            </w:r>
          </w:p>
        </w:tc>
        <w:tc>
          <w:tcPr>
            <w:tcW w:w="11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35383B"/>
                <w:sz w:val="20"/>
                <w:szCs w:val="20"/>
                <w:lang w:eastAsia="ru-RU"/>
              </w:rPr>
            </w:pPr>
            <w:r>
              <w:rPr>
                <w:rFonts w:eastAsia="Times New Roman" w:cs="Times New Roman"/>
                <w:color w:val="35383B"/>
                <w:sz w:val="20"/>
                <w:szCs w:val="20"/>
                <w:lang w:eastAsia="ru-RU"/>
              </w:rPr>
              <w:t>4202023230</w:t>
            </w:r>
          </w:p>
        </w:tc>
        <w:tc>
          <w:tcPr>
            <w:tcW w:w="15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Водоотведение, в том числе очистка сточных вод, обращение с осадком сточных вод</w:t>
            </w:r>
          </w:p>
        </w:tc>
      </w:tr>
      <w:tr>
        <w:trPr>
          <w:trHeight w:val="20" w:hRule="atLeast"/>
        </w:trPr>
        <w:tc>
          <w:tcPr>
            <w:tcW w:w="5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7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«Водоснабжение»</w:t>
            </w:r>
          </w:p>
        </w:tc>
        <w:tc>
          <w:tcPr>
            <w:tcW w:w="17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«Водоснабжение»</w:t>
            </w:r>
          </w:p>
        </w:tc>
        <w:tc>
          <w:tcPr>
            <w:tcW w:w="24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652600, 42 42, город Белово, 2-я Рабочая ул.</w:t>
            </w:r>
          </w:p>
        </w:tc>
        <w:tc>
          <w:tcPr>
            <w:tcW w:w="11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35383B"/>
                <w:sz w:val="20"/>
                <w:szCs w:val="20"/>
                <w:lang w:eastAsia="ru-RU"/>
              </w:rPr>
            </w:pPr>
            <w:r>
              <w:rPr>
                <w:rFonts w:eastAsia="Times New Roman" w:cs="Times New Roman"/>
                <w:color w:val="35383B"/>
                <w:sz w:val="20"/>
                <w:szCs w:val="20"/>
                <w:lang w:eastAsia="ru-RU"/>
              </w:rPr>
              <w:t>4202023801</w:t>
            </w:r>
          </w:p>
        </w:tc>
        <w:tc>
          <w:tcPr>
            <w:tcW w:w="15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Водоотведение</w:t>
            </w:r>
          </w:p>
        </w:tc>
      </w:tr>
      <w:tr>
        <w:trPr>
          <w:trHeight w:val="20" w:hRule="atLeast"/>
        </w:trPr>
        <w:tc>
          <w:tcPr>
            <w:tcW w:w="5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7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«Белсток»</w:t>
            </w:r>
          </w:p>
        </w:tc>
        <w:tc>
          <w:tcPr>
            <w:tcW w:w="17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«Белсток»</w:t>
            </w:r>
          </w:p>
        </w:tc>
        <w:tc>
          <w:tcPr>
            <w:tcW w:w="24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652616, Кемеровская Область - Кузбасс область, город Белово, ул. Жданова, д. 38</w:t>
            </w:r>
          </w:p>
        </w:tc>
        <w:tc>
          <w:tcPr>
            <w:tcW w:w="11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35383B"/>
                <w:sz w:val="20"/>
                <w:szCs w:val="20"/>
                <w:lang w:eastAsia="ru-RU"/>
              </w:rPr>
            </w:pPr>
            <w:r>
              <w:rPr>
                <w:rFonts w:eastAsia="Times New Roman" w:cs="Times New Roman"/>
                <w:color w:val="35383B"/>
                <w:sz w:val="20"/>
                <w:szCs w:val="20"/>
                <w:lang w:eastAsia="ru-RU"/>
              </w:rPr>
              <w:t>4202047785</w:t>
            </w:r>
          </w:p>
        </w:tc>
        <w:tc>
          <w:tcPr>
            <w:tcW w:w="15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Водоотведение, в том числе очистка сточных вод, обращение с осадком сточных вод</w:t>
            </w:r>
          </w:p>
        </w:tc>
      </w:tr>
      <w:tr>
        <w:trPr>
          <w:trHeight w:val="20" w:hRule="atLeast"/>
        </w:trPr>
        <w:tc>
          <w:tcPr>
            <w:tcW w:w="52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7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Общество с ограниченной ответственностью «Энергокомпания»</w:t>
            </w:r>
          </w:p>
        </w:tc>
        <w:tc>
          <w:tcPr>
            <w:tcW w:w="17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ООО «ЭК»</w:t>
            </w:r>
          </w:p>
        </w:tc>
        <w:tc>
          <w:tcPr>
            <w:tcW w:w="24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652642, 42 42, пгт Бачатский, Комсомольская ул, д. 10</w:t>
            </w:r>
          </w:p>
        </w:tc>
        <w:tc>
          <w:tcPr>
            <w:tcW w:w="11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35383B"/>
                <w:sz w:val="20"/>
                <w:szCs w:val="20"/>
                <w:lang w:eastAsia="ru-RU"/>
              </w:rPr>
            </w:pPr>
            <w:r>
              <w:rPr>
                <w:rFonts w:eastAsia="Times New Roman" w:cs="Times New Roman"/>
                <w:color w:val="35383B"/>
                <w:sz w:val="20"/>
                <w:szCs w:val="20"/>
                <w:lang w:eastAsia="ru-RU"/>
              </w:rPr>
              <w:t>4202044463</w:t>
            </w:r>
          </w:p>
        </w:tc>
        <w:tc>
          <w:tcPr>
            <w:tcW w:w="15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Водоотведение, в том числе очистка сточных вод, обращение с осадком сточных вод</w:t>
            </w:r>
          </w:p>
        </w:tc>
      </w:tr>
    </w:tbl>
    <w:p>
      <w:pPr>
        <w:pStyle w:val="Normal"/>
        <w:rPr/>
      </w:pPr>
      <w:r>
        <w:rPr/>
        <w:t>Регулируемые виды деятельности в сфере водоотведения на территории Беловского городского округа осуществляют следующие организации:</w:t>
      </w:r>
    </w:p>
    <w:p>
      <w:pPr>
        <w:pStyle w:val="Style31"/>
        <w:numPr>
          <w:ilvl w:val="0"/>
          <w:numId w:val="126"/>
        </w:numPr>
        <w:spacing w:before="120" w:after="120"/>
        <w:contextualSpacing/>
        <w:rPr/>
      </w:pPr>
      <w:r>
        <w:rPr/>
        <w:t>ООО «БелГОС»;</w:t>
      </w:r>
    </w:p>
    <w:p>
      <w:pPr>
        <w:pStyle w:val="Style31"/>
        <w:numPr>
          <w:ilvl w:val="0"/>
          <w:numId w:val="2"/>
        </w:numPr>
        <w:spacing w:before="120" w:after="120"/>
        <w:contextualSpacing/>
        <w:rPr/>
      </w:pPr>
      <w:r>
        <w:rPr/>
        <w:t>ООО «Водоснабжение»;</w:t>
      </w:r>
    </w:p>
    <w:p>
      <w:pPr>
        <w:pStyle w:val="Style31"/>
        <w:numPr>
          <w:ilvl w:val="0"/>
          <w:numId w:val="2"/>
        </w:numPr>
        <w:spacing w:before="120" w:after="120"/>
        <w:contextualSpacing/>
        <w:rPr/>
      </w:pPr>
      <w:r>
        <w:rPr/>
        <w:t>ООО «Белсток»;</w:t>
      </w:r>
    </w:p>
    <w:p>
      <w:pPr>
        <w:pStyle w:val="Style31"/>
        <w:numPr>
          <w:ilvl w:val="0"/>
          <w:numId w:val="2"/>
        </w:numPr>
        <w:spacing w:before="120" w:after="120"/>
        <w:contextualSpacing/>
        <w:rPr/>
      </w:pPr>
      <w:r>
        <w:rPr/>
        <w:t>ООО «ЭК».</w:t>
      </w:r>
    </w:p>
    <w:p>
      <w:pPr>
        <w:pStyle w:val="Normal"/>
        <w:rPr/>
      </w:pPr>
      <w:r>
        <w:rPr/>
        <w:t>В соответствии с [</w:t>
      </w:r>
      <w:r>
        <w:rPr/>
        <w:fldChar w:fldCharType="begin"/>
      </w:r>
      <w:r>
        <w:rPr/>
        <w:instrText xml:space="preserve"> REF _Ref154925037 \n \h </w:instrText>
      </w:r>
      <w:r>
        <w:rPr/>
        <w:fldChar w:fldCharType="separate"/>
      </w:r>
      <w:r>
        <w:rPr/>
        <w:t>2</w:t>
      </w:r>
      <w:r>
        <w:rPr/>
        <w:fldChar w:fldCharType="end"/>
      </w:r>
      <w:r>
        <w:rPr/>
        <w:t>] и [</w:t>
      </w:r>
      <w:r>
        <w:rPr/>
        <w:fldChar w:fldCharType="begin"/>
      </w:r>
      <w:r>
        <w:rPr/>
        <w:instrText xml:space="preserve"> REF _Ref154925043 \n \h </w:instrText>
      </w:r>
      <w:r>
        <w:rPr/>
        <w:fldChar w:fldCharType="separate"/>
      </w:r>
      <w:r>
        <w:rPr/>
        <w:t>3</w:t>
      </w:r>
      <w:r>
        <w:rPr/>
        <w:fldChar w:fldCharType="end"/>
      </w:r>
      <w:r>
        <w:rPr/>
        <w:t>]:</w:t>
      </w:r>
    </w:p>
    <w:p>
      <w:pPr>
        <w:pStyle w:val="Style31"/>
        <w:numPr>
          <w:ilvl w:val="0"/>
          <w:numId w:val="127"/>
        </w:numPr>
        <w:rPr/>
      </w:pPr>
      <w:r>
        <w:rPr/>
        <w:t>ЦС ВО (канализации) – комплекс технологически связанных между собой инженерных сооружений, предназначенных для водоотведения;</w:t>
      </w:r>
    </w:p>
    <w:p>
      <w:pPr>
        <w:pStyle w:val="Style31"/>
        <w:numPr>
          <w:ilvl w:val="0"/>
          <w:numId w:val="2"/>
        </w:numPr>
        <w:rPr/>
      </w:pPr>
      <w:r>
        <w:rPr/>
        <w:t>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pPr>
        <w:pStyle w:val="Style31"/>
        <w:numPr>
          <w:ilvl w:val="0"/>
          <w:numId w:val="2"/>
        </w:numPr>
        <w:rPr/>
      </w:pPr>
      <w:r>
        <w:rPr/>
        <w:t>ТЗ ВО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pPr>
        <w:pStyle w:val="Normal"/>
        <w:rPr/>
      </w:pPr>
      <w:r>
        <w:rPr/>
        <w:t>На момент актуализации Схемы ВСиВО в Беловском ГО централизованная система водоотведения существует в г. Белово (центральная часть, мкр. Бабанаково), пгт. Инской, пгт. Грамотеино, пгт. Новый Городок, пгт. Бачатский.</w:t>
      </w:r>
    </w:p>
    <w:p>
      <w:pPr>
        <w:pStyle w:val="Normal"/>
        <w:rPr/>
      </w:pPr>
      <w:r>
        <w:rPr/>
        <w:t>Беловский городской округ не имеет сплошной застройки, состоит из отдельных поселков городского типа, значительно удаленных друг от друга. В связи с чем, городской округ не имеет единой централизованной системы водоотведения. По мере строительства города в его районах и поселках возводились свои локальные очистные сооружения полной биологической очистки.</w:t>
      </w:r>
    </w:p>
    <w:p>
      <w:pPr>
        <w:pStyle w:val="Normal"/>
        <w:rPr/>
      </w:pPr>
      <w:r>
        <w:rPr/>
        <w:t>В Беловском ГО выделяются четыре эксплуатационные зоны водоотведения:</w:t>
      </w:r>
    </w:p>
    <w:p>
      <w:pPr>
        <w:pStyle w:val="Style31"/>
        <w:numPr>
          <w:ilvl w:val="0"/>
          <w:numId w:val="128"/>
        </w:numPr>
        <w:spacing w:before="120" w:after="120"/>
        <w:contextualSpacing/>
        <w:rPr/>
      </w:pPr>
      <w:r>
        <w:rPr/>
        <w:t>ООО «БелГОС» эксплуатирует канализационные сети и очистные сооружения в г. Белово (за исключением мкр. Бабанаково), пгт. Инской, пгт. Грамотеино и мкр. Ивушка;</w:t>
      </w:r>
    </w:p>
    <w:p>
      <w:pPr>
        <w:pStyle w:val="Style31"/>
        <w:numPr>
          <w:ilvl w:val="0"/>
          <w:numId w:val="129"/>
        </w:numPr>
        <w:spacing w:before="120" w:after="120"/>
        <w:contextualSpacing/>
        <w:rPr/>
      </w:pPr>
      <w:r>
        <w:rPr/>
        <w:t>ООО «Водоснабжение» эксплуатирует канализационные сети в пгт. Новый городок и мкр. Бабанаково;</w:t>
      </w:r>
    </w:p>
    <w:p>
      <w:pPr>
        <w:pStyle w:val="Style31"/>
        <w:numPr>
          <w:ilvl w:val="0"/>
          <w:numId w:val="130"/>
        </w:numPr>
        <w:spacing w:before="120" w:after="120"/>
        <w:contextualSpacing/>
        <w:rPr/>
      </w:pPr>
      <w:r>
        <w:rPr/>
        <w:t>ООО «Белсток» эксплуатирует очистные сооружения канализации пгт. Новый Городок и мкр. Бабанаково;</w:t>
      </w:r>
    </w:p>
    <w:p>
      <w:pPr>
        <w:pStyle w:val="Style31"/>
        <w:numPr>
          <w:ilvl w:val="0"/>
          <w:numId w:val="131"/>
        </w:numPr>
        <w:spacing w:before="120" w:after="120"/>
        <w:contextualSpacing/>
        <w:rPr/>
      </w:pPr>
      <w:r>
        <w:rPr/>
        <w:t>ООО «ЭК» эксплуатирует канализационные сети и очистные сооружения в пгт. Бачатский, в т.ч. с 1 апреля 2017 года и канализационные сети мкр. Финский (ранее эти канализационные сети были в эксплуатационном ведении ООО «Вега»).</w:t>
      </w:r>
    </w:p>
    <w:p>
      <w:pPr>
        <w:pStyle w:val="Normal"/>
        <w:rPr/>
      </w:pPr>
      <w:r>
        <w:rPr/>
        <w:t>Канализационная система городского округа разделена на семь технологических зон:</w:t>
      </w:r>
    </w:p>
    <w:p>
      <w:pPr>
        <w:pStyle w:val="Style31"/>
        <w:numPr>
          <w:ilvl w:val="0"/>
          <w:numId w:val="132"/>
        </w:numPr>
        <w:spacing w:before="120" w:after="120"/>
        <w:contextualSpacing/>
        <w:rPr/>
      </w:pPr>
      <w:r>
        <w:rPr/>
        <w:t>очистные сооружения г. Белово (центральная часть);</w:t>
      </w:r>
    </w:p>
    <w:p>
      <w:pPr>
        <w:pStyle w:val="Style31"/>
        <w:numPr>
          <w:ilvl w:val="0"/>
          <w:numId w:val="133"/>
        </w:numPr>
        <w:spacing w:before="120" w:after="120"/>
        <w:contextualSpacing/>
        <w:rPr/>
      </w:pPr>
      <w:r>
        <w:rPr/>
        <w:t>очистные сооружения пгт. Инской;</w:t>
      </w:r>
    </w:p>
    <w:p>
      <w:pPr>
        <w:pStyle w:val="Style31"/>
        <w:numPr>
          <w:ilvl w:val="0"/>
          <w:numId w:val="134"/>
        </w:numPr>
        <w:spacing w:before="120" w:after="120"/>
        <w:contextualSpacing/>
        <w:rPr/>
      </w:pPr>
      <w:r>
        <w:rPr/>
        <w:t>очистные сооружения пгт. Грамотеино;</w:t>
      </w:r>
    </w:p>
    <w:p>
      <w:pPr>
        <w:pStyle w:val="Style31"/>
        <w:numPr>
          <w:ilvl w:val="0"/>
          <w:numId w:val="135"/>
        </w:numPr>
        <w:spacing w:before="120" w:after="120"/>
        <w:contextualSpacing/>
        <w:rPr/>
      </w:pPr>
      <w:r>
        <w:rPr/>
        <w:t>очистные сооружения мкр. «Ивушка» пгт. Грамотеино;</w:t>
      </w:r>
    </w:p>
    <w:p>
      <w:pPr>
        <w:pStyle w:val="Style31"/>
        <w:numPr>
          <w:ilvl w:val="0"/>
          <w:numId w:val="136"/>
        </w:numPr>
        <w:spacing w:before="120" w:after="120"/>
        <w:contextualSpacing/>
        <w:rPr/>
      </w:pPr>
      <w:r>
        <w:rPr/>
        <w:t>очистные сооружения пгт. Новый Городок;</w:t>
      </w:r>
    </w:p>
    <w:p>
      <w:pPr>
        <w:pStyle w:val="Style31"/>
        <w:numPr>
          <w:ilvl w:val="0"/>
          <w:numId w:val="137"/>
        </w:numPr>
        <w:spacing w:before="120" w:after="120"/>
        <w:contextualSpacing/>
        <w:rPr/>
      </w:pPr>
      <w:r>
        <w:rPr/>
        <w:t>очистные сооружения мкр. Бабанаково г. Белово;</w:t>
      </w:r>
    </w:p>
    <w:p>
      <w:pPr>
        <w:pStyle w:val="Style31"/>
        <w:numPr>
          <w:ilvl w:val="0"/>
          <w:numId w:val="138"/>
        </w:numPr>
        <w:spacing w:before="120" w:after="120"/>
        <w:contextualSpacing/>
        <w:rPr/>
      </w:pPr>
      <w:r>
        <w:rPr/>
        <w:t>очистные сооружения пгт. Бачатский.</w:t>
      </w:r>
    </w:p>
    <w:p>
      <w:pPr>
        <w:pStyle w:val="Normal"/>
        <w:rPr/>
      </w:pPr>
      <w:r>
        <w:rPr/>
        <w:t>Сточные воды от объектов жилья и предприятий г. Белово (центральной части) по самотечным коллекторам поступают в приемные камеры КНС (канализационные насосные станции).</w:t>
      </w:r>
    </w:p>
    <w:p>
      <w:pPr>
        <w:pStyle w:val="Normal"/>
        <w:rPr/>
      </w:pPr>
      <w:r>
        <w:rPr/>
        <w:t>Сточные воды с ул. Железнодорожная, ул. Ленина, ул. Советская, ул. Октябрьская, от пер. Почтовый до ул. Юбилейная по самотечным коллекторам поступают в приемную камеру КНС-2 ул. Юбилейная (район вокзала).</w:t>
      </w:r>
    </w:p>
    <w:p>
      <w:pPr>
        <w:pStyle w:val="Normal"/>
        <w:rPr/>
      </w:pPr>
      <w:r>
        <w:rPr/>
        <w:t>Сточные воды с ул. Советская (д. 2-48), ул. Октябрьская (д. 7-41), от ул. Цимлянская (д. 58), ул. В. Волошиной, ул. Чкалова (д. 6-32), ул. Р. Люксембург, ул. Мичурина и ул. Козлова поступают в приемную камеру КНС ул. Советская.</w:t>
      </w:r>
    </w:p>
    <w:p>
      <w:pPr>
        <w:pStyle w:val="Normal"/>
        <w:rPr/>
      </w:pPr>
      <w:r>
        <w:rPr/>
        <w:t>Сточные воды с ул. Железнодорожная (д. 1-17), квартала № 34 поступают в приемную камеру КНС ул. Железнодорожная.</w:t>
      </w:r>
    </w:p>
    <w:p>
      <w:pPr>
        <w:pStyle w:val="Normal"/>
        <w:rPr/>
      </w:pPr>
      <w:r>
        <w:rPr/>
        <w:t>Сточные воды жилых домов и предприятий мкр. № 3, мкр. № 4, ул. Московская, ул. Каховская от пер. Почтовый поступают по самотечному коллектору диаметром 1000 мм на ГНС (главную насосную станцию).</w:t>
      </w:r>
    </w:p>
    <w:p>
      <w:pPr>
        <w:pStyle w:val="Normal"/>
        <w:rPr/>
      </w:pPr>
      <w:r>
        <w:rPr/>
        <w:t>Сточные воды котельной № 10, предприятий ул. Аэродромная и ул. Рабочая поступают в приемную камеру КНС (район Машзавода).</w:t>
      </w:r>
    </w:p>
    <w:p>
      <w:pPr>
        <w:pStyle w:val="Normal"/>
        <w:rPr/>
      </w:pPr>
      <w:r>
        <w:rPr/>
        <w:t>Далее с КНС сточные воды подаются по напорным коллекторам в приемную камеру ГНС. С главной насосной станции сточная вода насосами подается на городские очистные сооружения канализации.</w:t>
      </w:r>
    </w:p>
    <w:p>
      <w:pPr>
        <w:pStyle w:val="Normal"/>
        <w:rPr/>
      </w:pPr>
      <w:r>
        <w:rPr/>
        <w:t xml:space="preserve">Принципиальная схема объектов ВО г. Белово приведена на рисунке </w:t>
      </w:r>
      <w:r>
        <w:rPr/>
        <w:fldChar w:fldCharType="begin"/>
      </w:r>
      <w:r>
        <w:rPr/>
        <w:instrText xml:space="preserve"> REF _Ref156553441 \h </w:instrText>
      </w:r>
      <w:r>
        <w:rPr/>
        <w:fldChar w:fldCharType="separate"/>
      </w:r>
      <w:r>
        <w:rPr/>
        <w:t>Рисунок 2.1.16</w:t>
      </w:r>
      <w:r>
        <w:rPr/>
        <w:fldChar w:fldCharType="end"/>
      </w:r>
      <w:r>
        <w:rPr/>
        <w:t>.</w:t>
      </w:r>
    </w:p>
    <w:p>
      <w:pPr>
        <w:pStyle w:val="Style26"/>
        <w:rPr/>
      </w:pPr>
      <w:r>
        <w:rPr/>
        <w:drawing>
          <wp:inline distT="0" distB="0" distL="0" distR="0">
            <wp:extent cx="5940425" cy="3460750"/>
            <wp:effectExtent l="0" t="0" r="0" b="0"/>
            <wp:docPr id="18"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7" descr=""/>
                    <pic:cNvPicPr>
                      <a:picLocks noChangeAspect="1" noChangeArrowheads="1"/>
                    </pic:cNvPicPr>
                  </pic:nvPicPr>
                  <pic:blipFill>
                    <a:blip r:embed="rId43"/>
                    <a:stretch>
                      <a:fillRect/>
                    </a:stretch>
                  </pic:blipFill>
                  <pic:spPr bwMode="auto">
                    <a:xfrm>
                      <a:off x="0" y="0"/>
                      <a:ext cx="5940425" cy="3460750"/>
                    </a:xfrm>
                    <a:prstGeom prst="rect">
                      <a:avLst/>
                    </a:prstGeom>
                  </pic:spPr>
                </pic:pic>
              </a:graphicData>
            </a:graphic>
          </wp:inline>
        </w:drawing>
      </w:r>
    </w:p>
    <w:p>
      <w:pPr>
        <w:pStyle w:val="Caption"/>
        <w:rPr/>
      </w:pPr>
      <w:bookmarkStart w:id="126" w:name="_Ref156553441"/>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16</w:t>
      </w:r>
      <w:r>
        <w:rPr/>
        <w:fldChar w:fldCharType="end"/>
      </w:r>
      <w:bookmarkEnd w:id="126"/>
      <w:r>
        <w:rPr/>
        <w:t xml:space="preserve"> – Принципиальная схема объектов ВО г. Белово</w:t>
      </w:r>
    </w:p>
    <w:p>
      <w:pPr>
        <w:pStyle w:val="Normal"/>
        <w:rPr/>
      </w:pPr>
      <w:r>
        <w:rPr/>
        <w:t>Сточные воды от объектов жилья и предприятий пгт. Инской по самотечным коллекторам поступают в приемную камеру ГНС, расположенную по адресу микрорайон Технологический, 5.</w:t>
      </w:r>
    </w:p>
    <w:p>
      <w:pPr>
        <w:pStyle w:val="Normal"/>
        <w:rPr/>
      </w:pPr>
      <w:r>
        <w:rPr/>
        <w:t>Сточные воды детского интерната «Родник» и квартала «В» по самотечным коллекторам поступают в приемные камеры канализационных насосных станций на ул. Тобольская. С КНС стоки перекачиваются по напорным коллекторам, проложенным по ул. Чистопольская, до камеры гашения напора, далее системой самотечных канализационных коллекторов сточные воды поступают на ГНС. С ГНС сточные воды подаются по напорному коллектору в приемную камеру очистных сооружений канализации пгт. Инской.</w:t>
      </w:r>
    </w:p>
    <w:p>
      <w:pPr>
        <w:pStyle w:val="Normal"/>
        <w:rPr/>
      </w:pPr>
      <w:r>
        <w:rPr/>
        <w:t xml:space="preserve">Принципиальная схема объектов ВО пгт. Инской приведена на рисунке </w:t>
      </w:r>
      <w:r>
        <w:rPr/>
        <w:fldChar w:fldCharType="begin"/>
      </w:r>
      <w:r>
        <w:rPr/>
        <w:instrText xml:space="preserve"> REF _Ref156554274 \h </w:instrText>
      </w:r>
      <w:r>
        <w:rPr/>
        <w:fldChar w:fldCharType="separate"/>
      </w:r>
      <w:r>
        <w:rPr/>
        <w:t>Рисунок 2.1.17</w:t>
      </w:r>
      <w:r>
        <w:rPr/>
        <w:fldChar w:fldCharType="end"/>
      </w:r>
      <w:r>
        <w:rPr/>
        <w:t>.</w:t>
      </w:r>
    </w:p>
    <w:p>
      <w:pPr>
        <w:pStyle w:val="Style26"/>
        <w:rPr/>
      </w:pPr>
      <w:r>
        <w:rPr/>
        <w:drawing>
          <wp:inline distT="0" distB="0" distL="0" distR="0">
            <wp:extent cx="5940425" cy="1816735"/>
            <wp:effectExtent l="0" t="0" r="0" b="0"/>
            <wp:docPr id="19"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8" descr=""/>
                    <pic:cNvPicPr>
                      <a:picLocks noChangeAspect="1" noChangeArrowheads="1"/>
                    </pic:cNvPicPr>
                  </pic:nvPicPr>
                  <pic:blipFill>
                    <a:blip r:embed="rId44"/>
                    <a:stretch>
                      <a:fillRect/>
                    </a:stretch>
                  </pic:blipFill>
                  <pic:spPr bwMode="auto">
                    <a:xfrm>
                      <a:off x="0" y="0"/>
                      <a:ext cx="5940425" cy="1816735"/>
                    </a:xfrm>
                    <a:prstGeom prst="rect">
                      <a:avLst/>
                    </a:prstGeom>
                  </pic:spPr>
                </pic:pic>
              </a:graphicData>
            </a:graphic>
          </wp:inline>
        </w:drawing>
      </w:r>
    </w:p>
    <w:p>
      <w:pPr>
        <w:pStyle w:val="Caption"/>
        <w:rPr/>
      </w:pPr>
      <w:bookmarkStart w:id="127" w:name="_Ref15655427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17</w:t>
      </w:r>
      <w:r>
        <w:rPr/>
        <w:fldChar w:fldCharType="end"/>
      </w:r>
      <w:bookmarkEnd w:id="127"/>
      <w:r>
        <w:rPr/>
        <w:t xml:space="preserve"> – Принципиальная схема объектов ВО пгт. Инской</w:t>
      </w:r>
    </w:p>
    <w:p>
      <w:pPr>
        <w:pStyle w:val="Normal"/>
        <w:rPr/>
      </w:pPr>
      <w:r>
        <w:rPr/>
        <w:t>Сточные воды от объектов жилья и предприятий пгт. Грамотеино по самотечным коллекторам поступают в приемный резервуар КНС ул. Светлая. Далее с КНС погружными насосами сточные воды перекачиваются по напорному коллектору в приемную камеру очистных сооружений пгт. Грамотеино.</w:t>
      </w:r>
    </w:p>
    <w:p>
      <w:pPr>
        <w:pStyle w:val="Normal"/>
        <w:rPr/>
      </w:pPr>
      <w:r>
        <w:rPr/>
        <w:t>Сточные воды от объектов жилья мкр. «Ивушка» пгт. Грамотеино по самотечным коллекторам поступают в приемный резервуар КНС № 1. Далее с КНС № 1 погружными насосами сточные воды перекачиваются в канализационную станцию № 2, находящуюся на территории очистных сооружений. Также в приемную камеру КНС № 2 же по самотечным коллекторам поступают сточные воды от объектов жилья пгт. Грамотеино, от ледового дворца, бассейна пгт. Грамотеино и от административно-бытового комбината шахты Грамотеинская. Из КНС № 2 погружными насосами сточная вода перекачивается в приемную камеру очистных сооружений мкр. «Ивушка».</w:t>
      </w:r>
    </w:p>
    <w:p>
      <w:pPr>
        <w:pStyle w:val="Normal"/>
        <w:rPr/>
      </w:pPr>
      <w:r>
        <w:rPr/>
        <w:t xml:space="preserve">Принципиальная схема объектов ВО пгт. Грамотеино приведена на рисунке </w:t>
      </w:r>
      <w:r>
        <w:rPr/>
        <w:fldChar w:fldCharType="begin"/>
      </w:r>
      <w:r>
        <w:rPr/>
        <w:instrText xml:space="preserve"> REF _Ref156554413 \h </w:instrText>
      </w:r>
      <w:r>
        <w:rPr/>
        <w:fldChar w:fldCharType="separate"/>
      </w:r>
      <w:r>
        <w:rPr/>
        <w:t>Рисунок 2.1.18</w:t>
      </w:r>
      <w:r>
        <w:rPr/>
        <w:fldChar w:fldCharType="end"/>
      </w:r>
      <w:r>
        <w:rPr/>
        <w:t>.</w:t>
      </w:r>
    </w:p>
    <w:p>
      <w:pPr>
        <w:pStyle w:val="Style26"/>
        <w:rPr/>
      </w:pPr>
      <w:r>
        <w:rPr/>
        <w:drawing>
          <wp:inline distT="0" distB="0" distL="0" distR="0">
            <wp:extent cx="5940425" cy="2311400"/>
            <wp:effectExtent l="0" t="0" r="0" b="0"/>
            <wp:docPr id="20"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2" descr=""/>
                    <pic:cNvPicPr>
                      <a:picLocks noChangeAspect="1" noChangeArrowheads="1"/>
                    </pic:cNvPicPr>
                  </pic:nvPicPr>
                  <pic:blipFill>
                    <a:blip r:embed="rId45"/>
                    <a:stretch>
                      <a:fillRect/>
                    </a:stretch>
                  </pic:blipFill>
                  <pic:spPr bwMode="auto">
                    <a:xfrm>
                      <a:off x="0" y="0"/>
                      <a:ext cx="5940425" cy="2311400"/>
                    </a:xfrm>
                    <a:prstGeom prst="rect">
                      <a:avLst/>
                    </a:prstGeom>
                  </pic:spPr>
                </pic:pic>
              </a:graphicData>
            </a:graphic>
          </wp:inline>
        </w:drawing>
      </w:r>
    </w:p>
    <w:p>
      <w:pPr>
        <w:pStyle w:val="Caption"/>
        <w:rPr/>
      </w:pPr>
      <w:bookmarkStart w:id="128" w:name="_Ref156554413"/>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18</w:t>
      </w:r>
      <w:r>
        <w:rPr/>
        <w:fldChar w:fldCharType="end"/>
      </w:r>
      <w:bookmarkEnd w:id="128"/>
      <w:r>
        <w:rPr/>
        <w:t xml:space="preserve"> – Принципиальная схема объектов ВО пгт. Грамотеино</w:t>
      </w:r>
    </w:p>
    <w:p>
      <w:pPr>
        <w:pStyle w:val="Normal"/>
        <w:rPr/>
      </w:pPr>
      <w:r>
        <w:rPr/>
        <w:t>Бытовые сточные воды от абонентов ООО «Водоснабжение» (объектов жилья, бюджетных организаций и предприятий) пгт. Новый Городок по самотечным коллекторам поступают в приемную камеру КНС № 1 (ул. Седова) и перекачиваются по напорному канализационному коллектору до камеры гашения напора по ул. Седова. И далее системой самотечных канализационных коллекторов сточные воды подаются на главную насосную станцию - КНС № 2 (ул. Мусоргского). От КНС № 2 сточные воды подаются по стальному напорному коллектору диаметром 500 мм протяженностью 2 км на очистные сооружения поселка, находящиеся в аренде ООО «Белсток».</w:t>
      </w:r>
    </w:p>
    <w:p>
      <w:pPr>
        <w:pStyle w:val="Normal"/>
        <w:rPr/>
      </w:pPr>
      <w:r>
        <w:rPr/>
        <w:t xml:space="preserve">Принципиальная схема объектов ВО пгт. Новый Городок приведена на рисунке </w:t>
      </w:r>
      <w:r>
        <w:rPr/>
        <w:fldChar w:fldCharType="begin"/>
      </w:r>
      <w:r>
        <w:rPr/>
        <w:instrText xml:space="preserve"> REF _Ref156554744 \h </w:instrText>
      </w:r>
      <w:r>
        <w:rPr/>
        <w:fldChar w:fldCharType="separate"/>
      </w:r>
      <w:r>
        <w:rPr/>
        <w:t>Рисунок 2.1.19</w:t>
      </w:r>
      <w:r>
        <w:rPr/>
        <w:fldChar w:fldCharType="end"/>
      </w:r>
      <w:r>
        <w:rPr/>
        <w:t>.</w:t>
      </w:r>
    </w:p>
    <w:p>
      <w:pPr>
        <w:pStyle w:val="Style26"/>
        <w:rPr/>
      </w:pPr>
      <w:r>
        <w:rPr/>
        <w:drawing>
          <wp:inline distT="0" distB="0" distL="0" distR="0">
            <wp:extent cx="5940425" cy="1762125"/>
            <wp:effectExtent l="0" t="0" r="0" b="0"/>
            <wp:docPr id="21"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9" descr=""/>
                    <pic:cNvPicPr>
                      <a:picLocks noChangeAspect="1" noChangeArrowheads="1"/>
                    </pic:cNvPicPr>
                  </pic:nvPicPr>
                  <pic:blipFill>
                    <a:blip r:embed="rId46"/>
                    <a:stretch>
                      <a:fillRect/>
                    </a:stretch>
                  </pic:blipFill>
                  <pic:spPr bwMode="auto">
                    <a:xfrm>
                      <a:off x="0" y="0"/>
                      <a:ext cx="5940425" cy="1762125"/>
                    </a:xfrm>
                    <a:prstGeom prst="rect">
                      <a:avLst/>
                    </a:prstGeom>
                  </pic:spPr>
                </pic:pic>
              </a:graphicData>
            </a:graphic>
          </wp:inline>
        </w:drawing>
      </w:r>
    </w:p>
    <w:p>
      <w:pPr>
        <w:pStyle w:val="Caption"/>
        <w:rPr/>
      </w:pPr>
      <w:bookmarkStart w:id="129" w:name="_Ref15655474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19</w:t>
      </w:r>
      <w:r>
        <w:rPr/>
        <w:fldChar w:fldCharType="end"/>
      </w:r>
      <w:bookmarkEnd w:id="129"/>
      <w:r>
        <w:rPr/>
        <w:t xml:space="preserve"> – Принципиальная схема объектов ВО пгт. Новый Городок</w:t>
      </w:r>
    </w:p>
    <w:p>
      <w:pPr>
        <w:pStyle w:val="Normal"/>
        <w:rPr/>
      </w:pPr>
      <w:r>
        <w:rPr/>
        <w:t>Бытовые сточные воды от абонентов ООО «Водоснабжение» (объектов жилья, бюджетных организаций и предприятий) мкр. Бабанаково системой самотечных, напорных канализационных коллекторов и КНС (ул. Донбасская) поступают на очистные сооружения поселка, находящиеся в аренде ООО «Белсток».</w:t>
      </w:r>
    </w:p>
    <w:p>
      <w:pPr>
        <w:pStyle w:val="Normal"/>
        <w:rPr/>
      </w:pPr>
      <w:r>
        <w:rPr/>
        <w:t xml:space="preserve">Принципиальная схема объектов ВО мкр. Бабанаково приведена на рисунке </w:t>
      </w:r>
      <w:r>
        <w:rPr/>
        <w:fldChar w:fldCharType="begin"/>
      </w:r>
      <w:r>
        <w:rPr/>
        <w:instrText xml:space="preserve"> REF _Ref156554867 \h </w:instrText>
      </w:r>
      <w:r>
        <w:rPr/>
        <w:fldChar w:fldCharType="separate"/>
      </w:r>
      <w:r>
        <w:rPr/>
        <w:t>Рисунок 2.1.20</w:t>
      </w:r>
      <w:r>
        <w:rPr/>
        <w:fldChar w:fldCharType="end"/>
      </w:r>
      <w:r>
        <w:rPr/>
        <w:t>.</w:t>
      </w:r>
    </w:p>
    <w:p>
      <w:pPr>
        <w:pStyle w:val="Style26"/>
        <w:rPr/>
      </w:pPr>
      <w:r>
        <w:rPr/>
        <w:drawing>
          <wp:inline distT="0" distB="0" distL="0" distR="0">
            <wp:extent cx="5940425" cy="1498600"/>
            <wp:effectExtent l="0" t="0" r="0" b="0"/>
            <wp:docPr id="22"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5" descr=""/>
                    <pic:cNvPicPr>
                      <a:picLocks noChangeAspect="1" noChangeArrowheads="1"/>
                    </pic:cNvPicPr>
                  </pic:nvPicPr>
                  <pic:blipFill>
                    <a:blip r:embed="rId47"/>
                    <a:stretch>
                      <a:fillRect/>
                    </a:stretch>
                  </pic:blipFill>
                  <pic:spPr bwMode="auto">
                    <a:xfrm>
                      <a:off x="0" y="0"/>
                      <a:ext cx="5940425" cy="1498600"/>
                    </a:xfrm>
                    <a:prstGeom prst="rect">
                      <a:avLst/>
                    </a:prstGeom>
                  </pic:spPr>
                </pic:pic>
              </a:graphicData>
            </a:graphic>
          </wp:inline>
        </w:drawing>
      </w:r>
    </w:p>
    <w:p>
      <w:pPr>
        <w:pStyle w:val="Caption"/>
        <w:rPr/>
      </w:pPr>
      <w:bookmarkStart w:id="130" w:name="_Ref156554867"/>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20</w:t>
      </w:r>
      <w:r>
        <w:rPr/>
        <w:fldChar w:fldCharType="end"/>
      </w:r>
      <w:bookmarkEnd w:id="130"/>
      <w:r>
        <w:rPr/>
        <w:t xml:space="preserve"> – Принципиальная схема объектов ВО мкр. Бабанаково</w:t>
      </w:r>
    </w:p>
    <w:p>
      <w:pPr>
        <w:pStyle w:val="Normal"/>
        <w:rPr/>
      </w:pPr>
      <w:r>
        <w:rPr/>
        <w:t>Сточные воды от объектов жилья и предприятий пгт. Бачатский и мкр. Финский поступают на очистные сооружения канализации пгт. Бачатский.</w:t>
      </w:r>
    </w:p>
    <w:p>
      <w:pPr>
        <w:pStyle w:val="Normal"/>
        <w:rPr/>
      </w:pPr>
      <w:r>
        <w:rPr/>
        <w:t xml:space="preserve">Принципиальная схема объектов ВО пгт. Бачатский и мкр. Финский приведена на рисунке </w:t>
      </w:r>
      <w:r>
        <w:rPr/>
        <w:fldChar w:fldCharType="begin"/>
      </w:r>
      <w:r>
        <w:rPr/>
        <w:instrText xml:space="preserve"> REF _Ref156555014 \h </w:instrText>
      </w:r>
      <w:r>
        <w:rPr/>
        <w:fldChar w:fldCharType="separate"/>
      </w:r>
      <w:r>
        <w:rPr/>
        <w:t>Рисунок 2.1.21</w:t>
      </w:r>
      <w:r>
        <w:rPr/>
        <w:fldChar w:fldCharType="end"/>
      </w:r>
      <w:r>
        <w:rPr/>
        <w:t>.</w:t>
      </w:r>
    </w:p>
    <w:p>
      <w:pPr>
        <w:pStyle w:val="Style26"/>
        <w:rPr/>
      </w:pPr>
      <w:r>
        <w:rPr/>
        <w:drawing>
          <wp:inline distT="0" distB="0" distL="0" distR="0">
            <wp:extent cx="5940425" cy="1797050"/>
            <wp:effectExtent l="0" t="0" r="0" b="0"/>
            <wp:docPr id="23"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6" descr=""/>
                    <pic:cNvPicPr>
                      <a:picLocks noChangeAspect="1" noChangeArrowheads="1"/>
                    </pic:cNvPicPr>
                  </pic:nvPicPr>
                  <pic:blipFill>
                    <a:blip r:embed="rId48"/>
                    <a:stretch>
                      <a:fillRect/>
                    </a:stretch>
                  </pic:blipFill>
                  <pic:spPr bwMode="auto">
                    <a:xfrm>
                      <a:off x="0" y="0"/>
                      <a:ext cx="5940425" cy="1797050"/>
                    </a:xfrm>
                    <a:prstGeom prst="rect">
                      <a:avLst/>
                    </a:prstGeom>
                  </pic:spPr>
                </pic:pic>
              </a:graphicData>
            </a:graphic>
          </wp:inline>
        </w:drawing>
      </w:r>
    </w:p>
    <w:p>
      <w:pPr>
        <w:pStyle w:val="Caption"/>
        <w:rPr/>
      </w:pPr>
      <w:bookmarkStart w:id="131" w:name="_Ref15655501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21</w:t>
      </w:r>
      <w:r>
        <w:rPr/>
        <w:fldChar w:fldCharType="end"/>
      </w:r>
      <w:bookmarkEnd w:id="131"/>
      <w:r>
        <w:rPr/>
        <w:t xml:space="preserve"> – Принципиальная схема объектов ВО пгт. Бачатский и мкр. Финский</w:t>
      </w:r>
    </w:p>
    <w:p>
      <w:pPr>
        <w:pStyle w:val="3"/>
        <w:rPr/>
      </w:pPr>
      <w:bookmarkStart w:id="132" w:name="_Toc158814610"/>
      <w:r>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32"/>
    </w:p>
    <w:p>
      <w:pPr>
        <w:pStyle w:val="Normal"/>
        <w:rPr>
          <w:b/>
          <w:bCs/>
        </w:rPr>
      </w:pPr>
      <w:r>
        <w:rPr>
          <w:b/>
          <w:bCs/>
        </w:rPr>
        <w:t>Очистные сооружения г. Белово (центральная часть)</w:t>
      </w:r>
    </w:p>
    <w:p>
      <w:pPr>
        <w:pStyle w:val="Normal"/>
        <w:rPr/>
      </w:pPr>
      <w:r>
        <w:rPr/>
        <w:t>Очистные сооружения г. Белово (центральная часть) расположены на левом берегу р. Большой Бачат. Очистные сооружения построены в 1973 году, в 1983 году произведена реконструкция, площадь очистных сооружений - 11,14 га.</w:t>
      </w:r>
    </w:p>
    <w:p>
      <w:pPr>
        <w:pStyle w:val="Normal"/>
        <w:rPr/>
      </w:pPr>
      <w:r>
        <w:rPr/>
        <w:t>Проектная мощность ОС составляет 30,00 тыс. м</w:t>
      </w:r>
      <w:r>
        <w:rPr>
          <w:vertAlign w:val="superscript"/>
        </w:rPr>
        <w:t>3</w:t>
      </w:r>
      <w:r>
        <w:rPr/>
        <w:t>/сут., фактический приток сточных вод на очистные сооружения составляет 15,89 тыс. м</w:t>
      </w:r>
      <w:r>
        <w:rPr>
          <w:vertAlign w:val="superscript"/>
        </w:rPr>
        <w:t>3</w:t>
      </w:r>
      <w:r>
        <w:rPr/>
        <w:t>/сут.</w:t>
      </w:r>
    </w:p>
    <w:p>
      <w:pPr>
        <w:pStyle w:val="Normal"/>
        <w:rPr/>
      </w:pPr>
      <w:r>
        <w:rPr/>
        <w:t xml:space="preserve">Картосхема расположения КОС г. Белово приведена на рисунке </w:t>
      </w:r>
      <w:r>
        <w:rPr/>
        <w:fldChar w:fldCharType="begin"/>
      </w:r>
      <w:r>
        <w:rPr/>
        <w:instrText xml:space="preserve"> REF _Ref155609724 \h </w:instrText>
      </w:r>
      <w:r>
        <w:rPr/>
        <w:fldChar w:fldCharType="separate"/>
      </w:r>
      <w:r>
        <w:rPr/>
        <w:t>Рисунок 2.1.22</w:t>
      </w:r>
      <w:r>
        <w:rPr/>
        <w:fldChar w:fldCharType="end"/>
      </w:r>
      <w:r>
        <w:rPr/>
        <w:t>.</w:t>
      </w:r>
    </w:p>
    <w:p>
      <w:pPr>
        <w:pStyle w:val="Style26"/>
        <w:rPr/>
      </w:pPr>
      <w:r>
        <w:rPr/>
        <w:drawing>
          <wp:inline distT="0" distB="0" distL="0" distR="0">
            <wp:extent cx="5940425" cy="3619500"/>
            <wp:effectExtent l="0" t="0" r="0" b="0"/>
            <wp:docPr id="24"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0" descr=""/>
                    <pic:cNvPicPr>
                      <a:picLocks noChangeAspect="1" noChangeArrowheads="1"/>
                    </pic:cNvPicPr>
                  </pic:nvPicPr>
                  <pic:blipFill>
                    <a:blip r:embed="rId49"/>
                    <a:stretch>
                      <a:fillRect/>
                    </a:stretch>
                  </pic:blipFill>
                  <pic:spPr bwMode="auto">
                    <a:xfrm>
                      <a:off x="0" y="0"/>
                      <a:ext cx="5940425" cy="3619500"/>
                    </a:xfrm>
                    <a:prstGeom prst="rect">
                      <a:avLst/>
                    </a:prstGeom>
                  </pic:spPr>
                </pic:pic>
              </a:graphicData>
            </a:graphic>
          </wp:inline>
        </w:drawing>
      </w:r>
    </w:p>
    <w:p>
      <w:pPr>
        <w:pStyle w:val="Caption"/>
        <w:rPr/>
      </w:pPr>
      <w:bookmarkStart w:id="133" w:name="_Ref15560972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22</w:t>
      </w:r>
      <w:r>
        <w:rPr/>
        <w:fldChar w:fldCharType="end"/>
      </w:r>
      <w:bookmarkEnd w:id="133"/>
      <w:r>
        <w:rPr/>
        <w:t xml:space="preserve"> – Картосхема расположения КОС г. Белово</w:t>
      </w:r>
    </w:p>
    <w:p>
      <w:pPr>
        <w:pStyle w:val="Normal"/>
        <w:rPr/>
      </w:pPr>
      <w:r>
        <w:rPr/>
        <w:t>Сточные воды от объектов жилья и предприятий системой самотечных, напорных коллекторов и КНС поступают в приемную камеру ГНС, откуда по напорным коллекторам сточные воды поступают на механическую многоступенчатую решетку РС-1000, где задерживаются грубодисперсионные механические примеси.</w:t>
      </w:r>
    </w:p>
    <w:p>
      <w:pPr>
        <w:pStyle w:val="Normal"/>
        <w:rPr/>
      </w:pPr>
      <w:r>
        <w:rPr/>
        <w:t>Далее вода поступает в песколовки, назначение которых освободить сточные воды от тяжелых примесей минерального происхождения, принцип действия песколовок - гравитационный, т.е. во время движения воды по песколовкам с определенной скоростью, минеральные частицы оседают на дно.</w:t>
      </w:r>
    </w:p>
    <w:p>
      <w:pPr>
        <w:pStyle w:val="Normal"/>
        <w:rPr/>
      </w:pPr>
      <w:r>
        <w:rPr/>
        <w:t>Осадок (пульпа) с песколовки сбрасывается на песковую площадку. Сточные воды после песколовок направляются в первичные отстойники, где происходит механическая очистка. Выпавший на дно отстойника сырой осадок периодически выгружается в емкость сырого осадка, откуда насосами перекачивается на илоуплотнитель или иловые пруды. Осадок с илоуплотнителя подается на фильтр - пресс для обезвоживания, затем обезвоженный осадок вывозится на площадки.</w:t>
      </w:r>
    </w:p>
    <w:p>
      <w:pPr>
        <w:pStyle w:val="Normal"/>
        <w:rPr/>
      </w:pPr>
      <w:r>
        <w:rPr/>
        <w:t>Сточные воды с первичных отстойников поступают в аэротенки для биологической очистки. В аэротенки воздух подается с насосно-воздуходувной станции. Очищенная вода с аэротенков поступает на вторичные отстойники для отделения активного ила от воды. Активный ил из вторичных отстойников возвращается в аэротенки, а излишки подаются в емкость сырого осадка и избыточного ила. Далее вода из вторичных отстойников поступает в контактные резервуары, куда подается гипохлорит натрия из хлораторной для обеззараживания воды и далее поступает на доочистку через фильтры с зернистой загрузкой. На выходе с контактных резервуаров установлен прибор учета сточных вод «Взлет» РСЛ.</w:t>
      </w:r>
    </w:p>
    <w:p>
      <w:pPr>
        <w:pStyle w:val="Normal"/>
        <w:rPr/>
      </w:pPr>
      <w:r>
        <w:rPr/>
        <w:t>Очищенная вода сбрасывается в р. Большой Бачат.</w:t>
      </w:r>
    </w:p>
    <w:p>
      <w:pPr>
        <w:pStyle w:val="Normal"/>
        <w:rPr/>
      </w:pPr>
      <w:r>
        <w:rPr/>
        <w:t>Согласно решению о предоставлении водного объекта в пользование от 09.01.2020 № 1104/РРИ/Сс – 01.2020 объем сброса сточных вод не должен превышать 5 901,00 тыс. м</w:t>
      </w:r>
      <w:r>
        <w:rPr>
          <w:vertAlign w:val="superscript"/>
        </w:rPr>
        <w:t>3</w:t>
      </w:r>
      <w:r>
        <w:rPr/>
        <w:t>/год.</w:t>
      </w:r>
    </w:p>
    <w:p>
      <w:pPr>
        <w:pStyle w:val="Normal"/>
        <w:rPr>
          <w:b/>
          <w:bCs/>
        </w:rPr>
      </w:pPr>
      <w:r>
        <w:rPr>
          <w:b/>
          <w:bCs/>
        </w:rPr>
        <w:t>Очистные сооружения пгт. Инской</w:t>
      </w:r>
    </w:p>
    <w:p>
      <w:pPr>
        <w:pStyle w:val="Normal"/>
        <w:rPr/>
      </w:pPr>
      <w:r>
        <w:rPr/>
        <w:t>Очистные сооружения пгт. Инской введены в строй после реконструкции в 2000 году, площадь очистных сооружений – 3,73 га. Проектная мощность ОС составляла 10 тыс. м</w:t>
      </w:r>
      <w:r>
        <w:rPr>
          <w:vertAlign w:val="superscript"/>
        </w:rPr>
        <w:t>3</w:t>
      </w:r>
      <w:r>
        <w:rPr/>
        <w:t>/сут. Фактический приток стоков на очистные сооружения составляет 6,26 тыс. м</w:t>
      </w:r>
      <w:r>
        <w:rPr>
          <w:vertAlign w:val="superscript"/>
        </w:rPr>
        <w:t>3</w:t>
      </w:r>
      <w:r>
        <w:rPr/>
        <w:t>/сут.</w:t>
      </w:r>
    </w:p>
    <w:p>
      <w:pPr>
        <w:pStyle w:val="Normal"/>
        <w:rPr/>
      </w:pPr>
      <w:r>
        <w:rPr/>
        <w:t xml:space="preserve">Картосхема расположения КОС пгт. Инской приведена на рисунке </w:t>
      </w:r>
      <w:r>
        <w:rPr/>
        <w:fldChar w:fldCharType="begin"/>
      </w:r>
      <w:r>
        <w:rPr/>
        <w:instrText xml:space="preserve"> REF _Ref155619023 \h </w:instrText>
      </w:r>
      <w:r>
        <w:rPr/>
        <w:fldChar w:fldCharType="separate"/>
      </w:r>
      <w:r>
        <w:rPr/>
        <w:t>Рисунок 2.1.23</w:t>
      </w:r>
      <w:r>
        <w:rPr/>
        <w:fldChar w:fldCharType="end"/>
      </w:r>
      <w:r>
        <w:rPr/>
        <w:t>.</w:t>
      </w:r>
    </w:p>
    <w:p>
      <w:pPr>
        <w:pStyle w:val="Style26"/>
        <w:rPr/>
      </w:pPr>
      <w:r>
        <w:rPr/>
        <w:drawing>
          <wp:inline distT="0" distB="0" distL="0" distR="0">
            <wp:extent cx="5940425" cy="5487670"/>
            <wp:effectExtent l="0" t="0" r="0" b="0"/>
            <wp:docPr id="25"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9" descr=""/>
                    <pic:cNvPicPr>
                      <a:picLocks noChangeAspect="1" noChangeArrowheads="1"/>
                    </pic:cNvPicPr>
                  </pic:nvPicPr>
                  <pic:blipFill>
                    <a:blip r:embed="rId50"/>
                    <a:stretch>
                      <a:fillRect/>
                    </a:stretch>
                  </pic:blipFill>
                  <pic:spPr bwMode="auto">
                    <a:xfrm>
                      <a:off x="0" y="0"/>
                      <a:ext cx="5940425" cy="5487670"/>
                    </a:xfrm>
                    <a:prstGeom prst="rect">
                      <a:avLst/>
                    </a:prstGeom>
                  </pic:spPr>
                </pic:pic>
              </a:graphicData>
            </a:graphic>
          </wp:inline>
        </w:drawing>
      </w:r>
    </w:p>
    <w:p>
      <w:pPr>
        <w:pStyle w:val="Caption"/>
        <w:rPr/>
      </w:pPr>
      <w:bookmarkStart w:id="134" w:name="_Ref155619023"/>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23</w:t>
      </w:r>
      <w:r>
        <w:rPr/>
        <w:fldChar w:fldCharType="end"/>
      </w:r>
      <w:bookmarkEnd w:id="134"/>
      <w:r>
        <w:rPr/>
        <w:t xml:space="preserve"> – Картосхема расположения КОС пгт. Инской</w:t>
      </w:r>
    </w:p>
    <w:p>
      <w:pPr>
        <w:pStyle w:val="Normal"/>
        <w:rPr/>
      </w:pPr>
      <w:r>
        <w:rPr/>
        <w:t>Сточные воды поступают с главной насосной станции по напорному коллектору в приемную камеру очистных сооружений, где происходит гашение напора. Приемная камера оборудована насосами и решетками-дробилками.</w:t>
      </w:r>
    </w:p>
    <w:p>
      <w:pPr>
        <w:pStyle w:val="Normal"/>
        <w:rPr/>
      </w:pPr>
      <w:r>
        <w:rPr/>
        <w:t>Далее стоки поступают в две горизонтальные песколовки с круговым движением воды. Осевший осадок с песколовок удаляется на две песковые площадки. Отстоянная вода с площадок вновь перекачивается в приемную камеру. Из песколовок сточная вода самотеком поступает в четыре первичных отстойника радиального типа.</w:t>
      </w:r>
    </w:p>
    <w:p>
      <w:pPr>
        <w:pStyle w:val="Normal"/>
        <w:rPr/>
      </w:pPr>
      <w:r>
        <w:rPr/>
        <w:t>Биологическая очистка сточных вод происходит в четырех аэротенках коридорного типа с пневматической аэрацией. Иловая смесь в аэротенке аэрируется сжатым воздухом, подаваемым через дырчатые трубы.</w:t>
      </w:r>
    </w:p>
    <w:p>
      <w:pPr>
        <w:pStyle w:val="Normal"/>
        <w:rPr/>
      </w:pPr>
      <w:r>
        <w:rPr/>
        <w:t>Далее, стоки поступают в четыре вторичных отстойника, где происходит разделение сточной воды и активного ила. Минерализованный осадок из вторичных отстойников после аэробных стабилизаторов подается на три иловые карты. Обезвоживание осадка происходит естественным путем. Для снижения влажности осадка на иловых и песковых площадках установлены дренирующие колодцы. Избыточная иловая вода с иловых карт, а также с аэротенков, первичных и вторичных отстойников поступает на дренажно-насосную станцию. Дренажная сточная вода далее по коллектору поступает в приемную камеру.</w:t>
      </w:r>
    </w:p>
    <w:p>
      <w:pPr>
        <w:pStyle w:val="Normal"/>
        <w:rPr/>
      </w:pPr>
      <w:r>
        <w:rPr/>
        <w:t>Осветленная сточная вода отводится через лотки в трубопровод для перепуска в блок доочистки (биореакторы с сетчатой загрузкой). Далее стоки поступают в контактные резервуары, где происходит обеззараживание гипохлоритом натрия. Очищенная вода по коллектору сбрасывается в ручей Митрохин (приток р. Иня).</w:t>
      </w:r>
    </w:p>
    <w:p>
      <w:pPr>
        <w:pStyle w:val="Normal"/>
        <w:rPr/>
      </w:pPr>
      <w:r>
        <w:rPr/>
        <w:t>На очистных сооружениях установлен прибор учета сточных вод «Взлет» РСЛ.</w:t>
      </w:r>
    </w:p>
    <w:p>
      <w:pPr>
        <w:pStyle w:val="Normal"/>
        <w:rPr/>
      </w:pPr>
      <w:r>
        <w:rPr/>
        <w:t>В 2020 году на КОС пгт. Инской была выполнена замена металлической системы аэрации на систему ПВХ АКТ-ПРО-М128Т. Увеличение подачи воздуха соответственно улучшило качество очистки воды. Также было проведено восстановление герметизации приемной камеры.</w:t>
      </w:r>
    </w:p>
    <w:p>
      <w:pPr>
        <w:pStyle w:val="Normal"/>
        <w:rPr/>
      </w:pPr>
      <w:r>
        <w:rPr/>
        <w:t>Согласно решению о предоставлении водного объекта в пользование от 09.01.2020 № 1102/РРИ/Сс – 01.2020 объем сброса сточных вод не должен превышать 2 549,4 тыс. м</w:t>
      </w:r>
      <w:r>
        <w:rPr>
          <w:vertAlign w:val="superscript"/>
        </w:rPr>
        <w:t>3</w:t>
      </w:r>
      <w:r>
        <w:rPr/>
        <w:t>/год.</w:t>
      </w:r>
    </w:p>
    <w:p>
      <w:pPr>
        <w:pStyle w:val="Normal"/>
        <w:rPr>
          <w:b/>
          <w:bCs/>
        </w:rPr>
      </w:pPr>
      <w:r>
        <w:rPr>
          <w:b/>
          <w:bCs/>
        </w:rPr>
        <w:t>Очистные сооружения пгт. Грамотеино</w:t>
      </w:r>
    </w:p>
    <w:p>
      <w:pPr>
        <w:pStyle w:val="Normal"/>
        <w:rPr/>
      </w:pPr>
      <w:r>
        <w:rPr/>
        <w:t>Очистные сооружения пгт. Грамотеино введены в эксплуатацию после реконструкции в 1996 году. Проект очистных сооружений рассчитан на производительность 10 тыс. м</w:t>
      </w:r>
      <w:r>
        <w:rPr>
          <w:vertAlign w:val="superscript"/>
        </w:rPr>
        <w:t>3</w:t>
      </w:r>
      <w:r>
        <w:rPr/>
        <w:t>/сут., но так как очистные сооружения не достроены и не полностью введены в строй, на данный момент очистные могут принимать 5,90 тыс. м</w:t>
      </w:r>
      <w:r>
        <w:rPr>
          <w:vertAlign w:val="superscript"/>
        </w:rPr>
        <w:t>3</w:t>
      </w:r>
      <w:r>
        <w:rPr/>
        <w:t>/сут. Фактический приток стоков на очистные сооружения составляет 2,69 тыс. м</w:t>
      </w:r>
      <w:r>
        <w:rPr>
          <w:vertAlign w:val="superscript"/>
        </w:rPr>
        <w:t>3</w:t>
      </w:r>
      <w:r>
        <w:rPr/>
        <w:t>/сут. Площадь очистных сооружений – 5,13 га.</w:t>
      </w:r>
    </w:p>
    <w:p>
      <w:pPr>
        <w:pStyle w:val="Normal"/>
        <w:rPr/>
      </w:pPr>
      <w:r>
        <w:rPr/>
        <w:t>Сточные воды от объектов жилья и предприятий по самотечным коллекторам поступают в приемный резервуар КНС, далее с КНС погружными насосами сточные воды перекачиваются по напорному коллектору в приемную камеру очистных сооружений, где происходит гашение напора.</w:t>
      </w:r>
    </w:p>
    <w:p>
      <w:pPr>
        <w:pStyle w:val="Normal"/>
        <w:rPr/>
      </w:pPr>
      <w:r>
        <w:rPr/>
        <w:t>Далее, пройдя решетки, стоки направляются на песколовки, назначение которых освободить сточные воды от песка и тяжелых примесей минерального происхождения. Осадок из песколовок удаляется эрлифтами на песковые площадки.</w:t>
      </w:r>
    </w:p>
    <w:p>
      <w:pPr>
        <w:pStyle w:val="Normal"/>
        <w:rPr/>
      </w:pPr>
      <w:r>
        <w:rPr/>
        <w:t>Из песколовок механически очищенная сточная вода распределяется по секциям блока емкостей и поступает в аэротенки продленной аэрации. Аэрация обеспечивается подачей сжатого воздуха через перфорированные трубы, уложенные на дно аэротенка. Воздух забирается из атмосферы, проходит воздухозаборную камеру с фильтрами и подается турбовоздуходувками, расположенными в галереи обслуживания.</w:t>
      </w:r>
    </w:p>
    <w:p>
      <w:pPr>
        <w:pStyle w:val="Normal"/>
        <w:rPr/>
      </w:pPr>
      <w:r>
        <w:rPr/>
        <w:t>Из аэротенков иловая смесь поступает во вторичные отстойники, где происходит осветление сточной воды, которая отводится через лотки в трубопровод для перепуска в блок доочистки, а после доочистки возвращается в контактные резервуары. Активный ил эрлифтами постоянно отводится в первый коридор каждого аэротенка. Избыточный ил направляется в аэробный стабилизатор для сбраживания в аэробных условиях. Стабилизированный ил перекачивается насосами на иловые площадки.</w:t>
      </w:r>
    </w:p>
    <w:p>
      <w:pPr>
        <w:pStyle w:val="Normal"/>
        <w:rPr/>
      </w:pPr>
      <w:r>
        <w:rPr/>
        <w:t>Биологически очищенные стоки из блока емкостей поступают на доочистку, где, пройдя барабанные сетки, отводятся в приемный резервуар блока резервуаров. Из приемного резервуара насосы забирают воду и подают ее для выравнивания напора во входную камеру, откуда сточная вода подается на песчаные фильтры с восходящим потоком.</w:t>
      </w:r>
    </w:p>
    <w:p>
      <w:pPr>
        <w:pStyle w:val="Normal"/>
        <w:rPr/>
      </w:pPr>
      <w:r>
        <w:rPr/>
        <w:t>Для промывки загрузки фильтров используется вода, прошедшая полную очистку. Подача промывной воды на фильтры осуществляется насосами, забирающими воду из резервуаров чистой воды. Грязная промывная вода от фильтров отводится в резервуар грязной промывной воды, откуда насосами перекачивается в голову сооружений.</w:t>
      </w:r>
    </w:p>
    <w:p>
      <w:pPr>
        <w:pStyle w:val="Normal"/>
        <w:rPr/>
      </w:pPr>
      <w:r>
        <w:rPr/>
        <w:t>Отфильтрованная сточная вода из блока доочистки поступает в контактный резервуар, который находится в блоке емкостей. В контактном резервуаре происходит дезинфекция (обеззараживание) воды путем подачи в него гипохлорита натрия из хлораторной. Очищенная вода по коллектору поступает на сброс в р. Иня.</w:t>
      </w:r>
    </w:p>
    <w:p>
      <w:pPr>
        <w:pStyle w:val="Normal"/>
        <w:rPr/>
      </w:pPr>
      <w:r>
        <w:rPr/>
        <w:t>На очистных сооружениях установлен прибор учета сточных вод «Взлет» РСЛ.</w:t>
      </w:r>
    </w:p>
    <w:p>
      <w:pPr>
        <w:pStyle w:val="Normal"/>
        <w:rPr/>
      </w:pPr>
      <w:r>
        <w:rPr/>
        <w:t>В 2021 году на КОС пгт. Грамотеино была выполнена замена металлической системы аэрации на систему ПВХ АКТ-ПРО-М128Т. Увеличение подачи воздуха соответственно улучшило качество очистки воды.</w:t>
      </w:r>
    </w:p>
    <w:p>
      <w:pPr>
        <w:pStyle w:val="Normal"/>
        <w:rPr/>
      </w:pPr>
      <w:r>
        <w:rPr/>
        <w:t>Очистные сооружения пгт. Грамотеино имеют износ в пределах 60%. Изначально комплексы были приняты в эксплуатацию с недостатками и недоделками. Требуется реконструкция или капитальный ремонт очистных сооружений пгт. Грамотеино.</w:t>
      </w:r>
    </w:p>
    <w:p>
      <w:pPr>
        <w:pStyle w:val="Normal"/>
        <w:rPr/>
      </w:pPr>
      <w:r>
        <w:rPr/>
        <w:t>Без принятия срочных мер по реконструкции очистных сооружений создается угроза их остановки, что приведет к серьезным экологическим загрязнениям Верхнебского водного бассейна.</w:t>
      </w:r>
    </w:p>
    <w:p>
      <w:pPr>
        <w:pStyle w:val="Normal"/>
        <w:rPr/>
      </w:pPr>
      <w:r>
        <w:rPr/>
        <w:t>Приемная камера выполнена из металла, металл с массовой коррозией и большим количеством заплат, отсутствует возможность производить текущий ремонт.</w:t>
      </w:r>
    </w:p>
    <w:p>
      <w:pPr>
        <w:pStyle w:val="Normal"/>
        <w:rPr/>
      </w:pPr>
      <w:r>
        <w:rPr/>
        <w:t xml:space="preserve">Песколовки металлические, так же наблюдается массовая коррозия, лотки металлические разрушаются под воздействием агрессивной водной среды (стоков). </w:t>
      </w:r>
    </w:p>
    <w:p>
      <w:pPr>
        <w:pStyle w:val="Normal"/>
        <w:rPr/>
      </w:pPr>
      <w:r>
        <w:rPr/>
        <w:t xml:space="preserve">Блок емкостей состоит из четырех секций. Две секции блока емкостей находятся в эксплуатации, выполненные из железобетона, обшитого металлом, который подвержен значительной коррозии. Две другие – это незавершенное строительство. Резервуары этих секций негерметичны и не прошли гидравлических испытаний, также не имеют обвязку технологическими трубопроводами и не привязаны к другим сооружениям. </w:t>
      </w:r>
    </w:p>
    <w:p>
      <w:pPr>
        <w:pStyle w:val="Normal"/>
        <w:rPr/>
      </w:pPr>
      <w:r>
        <w:rPr/>
        <w:t>Блок доочистки из 12 фильтров: в работе 6, которые работают с 1996 года. Загрузка фильтров трехслойная: 1 и 2 – базальтовая крошка большей и меньшей фракции, 3 – песок.  Загрузка фильтров за время эксплуатации ни разу не менялась, производится только регулярная промывка. Остальные 6 фильтров при строительстве не были подключены к системе очистки.  Резервуар с перегородкой на две барабанные сетки для очистки воды от мелких примесей. Одна сетка полностью разрушена и не функционирует, вторая барабанная сетка работает в аварийном режиме.</w:t>
      </w:r>
    </w:p>
    <w:p>
      <w:pPr>
        <w:pStyle w:val="Normal"/>
        <w:rPr/>
      </w:pPr>
      <w:r>
        <w:rPr/>
        <w:t>Блок резервуаров (3 резервуара) выполнены из бетона и в целях герметизации обшиты металлом, который так же серьезно подвержен коррозии, нарушена герметичность.</w:t>
      </w:r>
    </w:p>
    <w:p>
      <w:pPr>
        <w:pStyle w:val="Normal"/>
        <w:rPr/>
      </w:pPr>
      <w:r>
        <w:rPr/>
        <w:t>Все железобетонные конструкции блока емкостей и блока резервуаров смонтированы с грубейшим отступлением от СНиП и ТУ (протокол технического совещания при строительстве и реконструкции очистных сооружений пгт. Грамотеино от 25.04.1994г)</w:t>
      </w:r>
    </w:p>
    <w:p>
      <w:pPr>
        <w:pStyle w:val="Normal"/>
        <w:rPr/>
      </w:pPr>
      <w:r>
        <w:rPr/>
        <w:t xml:space="preserve">Трансформаторная подстанция, от которой запитаны все очистные сооружения пгт. Грамотеино требует полной замены. Здание ТП кирпичное, пристроенное к помещению блока доочистки, имеет трещины и ослабление связей между отдельными участками стен. </w:t>
      </w:r>
    </w:p>
    <w:p>
      <w:pPr>
        <w:pStyle w:val="Normal"/>
        <w:rPr/>
      </w:pPr>
      <w:r>
        <w:rPr/>
        <w:t xml:space="preserve"> </w:t>
      </w:r>
      <w:r>
        <w:rPr/>
        <w:t>В 2023 году была проведена экспертиза здания блока доочистки и трансформаторной подстанции. Согласно обследованию и рекомендациям ЗАО НТЦ «ЭКСПЕРТИЗА» необходимо провести реконструкцию крыши здания и усиление строительных конструкций (установленные прогоны не соответствуют проектным решениям). Состояние стен трансформаторной подстанции аварийное, выполненное усиление стен не выполняет своих функций.</w:t>
      </w:r>
    </w:p>
    <w:p>
      <w:pPr>
        <w:pStyle w:val="Normal"/>
        <w:rPr/>
      </w:pPr>
      <w:r>
        <w:rPr/>
        <w:t>Согласно решению о предоставлении водного объекта в пользование от 09.01.2020 № 1103/РРИ/Сс – 01.2020 объем сброса сточных вод не должен превышать 980,51 тыс. м</w:t>
      </w:r>
      <w:r>
        <w:rPr>
          <w:vertAlign w:val="superscript"/>
        </w:rPr>
        <w:t>3</w:t>
      </w:r>
      <w:r>
        <w:rPr/>
        <w:t>/год.</w:t>
      </w:r>
    </w:p>
    <w:p>
      <w:pPr>
        <w:pStyle w:val="Normal"/>
        <w:rPr/>
      </w:pPr>
      <w:r>
        <w:rPr/>
        <w:t>Картосхема расположения КОС пгт. Грамотеино приведена на рисунке </w:t>
      </w:r>
      <w:r>
        <w:rPr/>
        <w:fldChar w:fldCharType="begin"/>
      </w:r>
      <w:r>
        <w:rPr/>
        <w:instrText xml:space="preserve"> REF _Ref155619514 \h </w:instrText>
      </w:r>
      <w:r>
        <w:rPr/>
        <w:fldChar w:fldCharType="separate"/>
      </w:r>
      <w:r>
        <w:rPr/>
        <w:t>Рисунок 2.1.24</w:t>
      </w:r>
      <w:r>
        <w:rPr/>
        <w:fldChar w:fldCharType="end"/>
      </w:r>
      <w:r>
        <w:rPr/>
        <w:t>.</w:t>
      </w:r>
    </w:p>
    <w:p>
      <w:pPr>
        <w:pStyle w:val="Style26"/>
        <w:rPr/>
      </w:pPr>
      <w:r>
        <w:rPr/>
        <w:drawing>
          <wp:inline distT="0" distB="0" distL="0" distR="0">
            <wp:extent cx="5527675" cy="8991600"/>
            <wp:effectExtent l="0" t="0" r="0" b="0"/>
            <wp:docPr id="26"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0" descr=""/>
                    <pic:cNvPicPr>
                      <a:picLocks noChangeAspect="1" noChangeArrowheads="1"/>
                    </pic:cNvPicPr>
                  </pic:nvPicPr>
                  <pic:blipFill>
                    <a:blip r:embed="rId51"/>
                    <a:srcRect l="0" t="4158" r="0" b="0"/>
                    <a:stretch>
                      <a:fillRect/>
                    </a:stretch>
                  </pic:blipFill>
                  <pic:spPr bwMode="auto">
                    <a:xfrm>
                      <a:off x="0" y="0"/>
                      <a:ext cx="5527675" cy="8991600"/>
                    </a:xfrm>
                    <a:prstGeom prst="rect">
                      <a:avLst/>
                    </a:prstGeom>
                    <a:ln w="9525">
                      <a:solidFill>
                        <a:srgbClr val="000000"/>
                      </a:solidFill>
                    </a:ln>
                  </pic:spPr>
                </pic:pic>
              </a:graphicData>
            </a:graphic>
          </wp:inline>
        </w:drawing>
      </w:r>
    </w:p>
    <w:p>
      <w:pPr>
        <w:pStyle w:val="Caption"/>
        <w:rPr/>
      </w:pPr>
      <w:bookmarkStart w:id="135" w:name="_Ref15561951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24</w:t>
      </w:r>
      <w:r>
        <w:rPr/>
        <w:fldChar w:fldCharType="end"/>
      </w:r>
      <w:bookmarkEnd w:id="135"/>
      <w:r>
        <w:rPr/>
        <w:t xml:space="preserve"> – Картосхема расположения КОС пгт. Грамотеино</w:t>
      </w:r>
    </w:p>
    <w:p>
      <w:pPr>
        <w:pStyle w:val="Normal"/>
        <w:rPr>
          <w:b/>
          <w:bCs/>
        </w:rPr>
      </w:pPr>
      <w:r>
        <w:rPr>
          <w:b/>
          <w:bCs/>
        </w:rPr>
        <w:t>Очистные сооружения микрорайона Ивушка</w:t>
      </w:r>
    </w:p>
    <w:p>
      <w:pPr>
        <w:pStyle w:val="Normal"/>
        <w:rPr/>
      </w:pPr>
      <w:r>
        <w:rPr/>
        <w:t>Очистные сооружения микрорайона Ивушка введены в эксплуатацию в 1996 году. Проект очистных сооружений рассчитан на производительность 1,1 тыс. м</w:t>
      </w:r>
      <w:r>
        <w:rPr>
          <w:vertAlign w:val="superscript"/>
        </w:rPr>
        <w:t>3</w:t>
      </w:r>
      <w:r>
        <w:rPr/>
        <w:t>/сут. Фактический приток стоков на очистные сооружения составляет 0,68 тыс. м</w:t>
      </w:r>
      <w:r>
        <w:rPr>
          <w:vertAlign w:val="superscript"/>
        </w:rPr>
        <w:t>3</w:t>
      </w:r>
      <w:r>
        <w:rPr/>
        <w:t>/сут. Площадь очистных сооружений – 1,79 га.</w:t>
      </w:r>
    </w:p>
    <w:p>
      <w:pPr>
        <w:pStyle w:val="Normal"/>
        <w:rPr/>
      </w:pPr>
      <w:r>
        <w:rPr/>
        <w:t>Сточные воды поступают из КНС № 2 по напорному трубопроводу в приемную камеру очистных сооружений, где происходит гашение напора. Затем по лоткам, через решетки, сточная вода поступает на песколовки, где происходит осаждение песка и тяжелых минеральных частиц. Осадок из песколовок удаляется эрлифтами на песковые площадки.</w:t>
      </w:r>
    </w:p>
    <w:p>
      <w:pPr>
        <w:pStyle w:val="Normal"/>
        <w:rPr/>
      </w:pPr>
      <w:r>
        <w:rPr/>
        <w:t>Из песколовок сточные воды поступают в аэротенки продленной аэрации. Аэрация обеспечивается сжатым воздухом, подаваемым через дырчатые трубы. Иловая смесь из аэротенков подается во вторичные отстойники, где происходит осветление сточной воды. Активный ил отводится в начало аэротенка. Избыточный ил направляется для стабилизации в аэробный стабилизатор, затем насосом перекачивается на иловые площадки.</w:t>
      </w:r>
    </w:p>
    <w:p>
      <w:pPr>
        <w:pStyle w:val="Normal"/>
        <w:rPr/>
      </w:pPr>
      <w:r>
        <w:rPr/>
        <w:t>Очищенные стоки из блока емкостей биологической очистки поступают на доочистку. Насосы забирают из приемного резервуара воду и подают ее для выравнивания напора во входную камеру, откуда вода подается на песчаные фильтры с нисходящим потоком.</w:t>
      </w:r>
    </w:p>
    <w:p>
      <w:pPr>
        <w:pStyle w:val="Normal"/>
        <w:rPr/>
      </w:pPr>
      <w:r>
        <w:rPr/>
        <w:t>В контактных резервуарах происходит обеззараживание сточной воды путем контакта с гипохлоритом натрия, который подается из хлораторной.</w:t>
      </w:r>
    </w:p>
    <w:p>
      <w:pPr>
        <w:pStyle w:val="Normal"/>
        <w:rPr/>
      </w:pPr>
      <w:r>
        <w:rPr/>
        <w:t>Очищенная вода по самотечному коллектору сбрасывается в р. Мереть.</w:t>
      </w:r>
    </w:p>
    <w:p>
      <w:pPr>
        <w:pStyle w:val="Normal"/>
        <w:rPr/>
      </w:pPr>
      <w:r>
        <w:rPr/>
        <w:t>На очистных сооружениях установлен прибор учета сточных вод ЭХО-Р-02.</w:t>
      </w:r>
    </w:p>
    <w:p>
      <w:pPr>
        <w:pStyle w:val="Normal"/>
        <w:rPr/>
      </w:pPr>
      <w:r>
        <w:rPr/>
        <w:t>Очистные сооружения мкр. Ивушка имеют износ 100% вследствие чего необходима полная реконструкция КНС мкр. Ивушка, а также строительство напорного коллектора от очистных сооружений мкр. Ивушка до очистных сооружений пгт. Грамотеино.</w:t>
      </w:r>
    </w:p>
    <w:p>
      <w:pPr>
        <w:pStyle w:val="Normal"/>
        <w:rPr/>
      </w:pPr>
      <w:r>
        <w:rPr/>
        <w:t>Приемная камера и песколовки бетонные, обшиты металлом для устранения нарушения герметичности.</w:t>
      </w:r>
    </w:p>
    <w:p>
      <w:pPr>
        <w:pStyle w:val="Normal"/>
        <w:rPr/>
      </w:pPr>
      <w:r>
        <w:rPr/>
        <w:t>Резервуар блок емкостей и блока доочистки: внутренние поверхности стен и днища всех резервуаров покрыты металлическим листом, имеют большую степень коррозии.</w:t>
      </w:r>
    </w:p>
    <w:p>
      <w:pPr>
        <w:pStyle w:val="Normal"/>
        <w:rPr/>
      </w:pPr>
      <w:r>
        <w:rPr/>
        <w:t>Согласно решению о предоставлении водного объекта в пользование от 09.01.2020 № 1100/РРИ/Сс – 01.2020 объем сброса сточных вод не должен превышать 248,76 тыс. м</w:t>
      </w:r>
      <w:r>
        <w:rPr>
          <w:vertAlign w:val="superscript"/>
        </w:rPr>
        <w:t>3</w:t>
      </w:r>
      <w:r>
        <w:rPr/>
        <w:t>/год.</w:t>
      </w:r>
    </w:p>
    <w:p>
      <w:pPr>
        <w:pStyle w:val="Normal"/>
        <w:rPr/>
      </w:pPr>
      <w:r>
        <w:rPr/>
        <w:t xml:space="preserve">Картосхема расположения КОС мкр. Ивушка приведена на рисунке </w:t>
      </w:r>
      <w:r>
        <w:rPr/>
        <w:fldChar w:fldCharType="begin"/>
      </w:r>
      <w:r>
        <w:rPr/>
        <w:instrText xml:space="preserve"> REF _Ref158486898 \h </w:instrText>
      </w:r>
      <w:r>
        <w:rPr/>
        <w:fldChar w:fldCharType="separate"/>
      </w:r>
      <w:r>
        <w:rPr/>
        <w:t>Рисунок 2.1.25</w:t>
      </w:r>
      <w:r>
        <w:rPr/>
        <w:fldChar w:fldCharType="end"/>
      </w:r>
      <w:r>
        <w:rPr/>
        <w:t>.</w:t>
      </w:r>
    </w:p>
    <w:p>
      <w:pPr>
        <w:pStyle w:val="Style26"/>
        <w:rPr/>
      </w:pPr>
      <w:r>
        <w:rPr/>
        <w:drawing>
          <wp:inline distT="0" distB="0" distL="0" distR="0">
            <wp:extent cx="5841365" cy="3528060"/>
            <wp:effectExtent l="0" t="0" r="0" b="0"/>
            <wp:docPr id="27"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31" descr=""/>
                    <pic:cNvPicPr>
                      <a:picLocks noChangeAspect="1" noChangeArrowheads="1"/>
                    </pic:cNvPicPr>
                  </pic:nvPicPr>
                  <pic:blipFill>
                    <a:blip r:embed="rId52"/>
                    <a:srcRect l="0" t="9877" r="0" b="0"/>
                    <a:stretch>
                      <a:fillRect/>
                    </a:stretch>
                  </pic:blipFill>
                  <pic:spPr bwMode="auto">
                    <a:xfrm>
                      <a:off x="0" y="0"/>
                      <a:ext cx="5841365" cy="3528060"/>
                    </a:xfrm>
                    <a:prstGeom prst="rect">
                      <a:avLst/>
                    </a:prstGeom>
                    <a:ln w="9525">
                      <a:solidFill>
                        <a:srgbClr val="000000"/>
                      </a:solidFill>
                    </a:ln>
                  </pic:spPr>
                </pic:pic>
              </a:graphicData>
            </a:graphic>
          </wp:inline>
        </w:drawing>
      </w:r>
    </w:p>
    <w:p>
      <w:pPr>
        <w:pStyle w:val="Caption"/>
        <w:rPr/>
      </w:pPr>
      <w:bookmarkStart w:id="136" w:name="_Ref158486898"/>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25</w:t>
      </w:r>
      <w:r>
        <w:rPr/>
        <w:fldChar w:fldCharType="end"/>
      </w:r>
      <w:bookmarkEnd w:id="136"/>
      <w:r>
        <w:rPr/>
        <w:t xml:space="preserve"> – Картосхема расположения КОС мкр. Ивушка</w:t>
      </w:r>
    </w:p>
    <w:p>
      <w:pPr>
        <w:pStyle w:val="Normal"/>
        <w:rPr>
          <w:b/>
          <w:bCs/>
        </w:rPr>
      </w:pPr>
      <w:r>
        <w:rPr>
          <w:b/>
          <w:bCs/>
        </w:rPr>
        <w:t>Очистные сооружения пгт. Новый Городок</w:t>
      </w:r>
    </w:p>
    <w:p>
      <w:pPr>
        <w:pStyle w:val="Normal"/>
        <w:rPr/>
      </w:pPr>
      <w:r>
        <w:rPr/>
        <w:t>Очистные сооружения пгт. Новый городок были построены в 1957 году. В 1972 году было произведено расширение очистных сооружений. Проектная производительность сооружений составляет 5,8 тыс. м</w:t>
      </w:r>
      <w:r>
        <w:rPr>
          <w:vertAlign w:val="superscript"/>
        </w:rPr>
        <w:t>3</w:t>
      </w:r>
      <w:r>
        <w:rPr/>
        <w:t>/сут., фактическое поступление стоков на очистные сооружения - 3,2 тыс. м</w:t>
      </w:r>
      <w:r>
        <w:rPr>
          <w:vertAlign w:val="superscript"/>
        </w:rPr>
        <w:t>3</w:t>
      </w:r>
      <w:r>
        <w:rPr/>
        <w:t>/сут.</w:t>
      </w:r>
    </w:p>
    <w:p>
      <w:pPr>
        <w:pStyle w:val="Normal"/>
        <w:rPr/>
      </w:pPr>
      <w:r>
        <w:rPr/>
        <w:t>Картосхема расположения КОС пгт. Новый Городок приведена на рисунке </w:t>
      </w:r>
      <w:r>
        <w:rPr/>
        <w:fldChar w:fldCharType="begin"/>
      </w:r>
      <w:r>
        <w:rPr/>
        <w:instrText xml:space="preserve"> REF _Ref155620330 \h </w:instrText>
      </w:r>
      <w:r>
        <w:rPr/>
        <w:fldChar w:fldCharType="separate"/>
      </w:r>
      <w:r>
        <w:rPr/>
        <w:t>Рисунок 2.1.26</w:t>
      </w:r>
      <w:r>
        <w:rPr/>
        <w:fldChar w:fldCharType="end"/>
      </w:r>
      <w:r>
        <w:rPr/>
        <w:t>.</w:t>
      </w:r>
    </w:p>
    <w:p>
      <w:pPr>
        <w:pStyle w:val="Style26"/>
        <w:rPr/>
      </w:pPr>
      <w:r>
        <w:rPr/>
        <w:drawing>
          <wp:inline distT="0" distB="0" distL="0" distR="0">
            <wp:extent cx="5940425" cy="4522470"/>
            <wp:effectExtent l="0" t="0" r="0" b="0"/>
            <wp:docPr id="28"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2" descr=""/>
                    <pic:cNvPicPr>
                      <a:picLocks noChangeAspect="1" noChangeArrowheads="1"/>
                    </pic:cNvPicPr>
                  </pic:nvPicPr>
                  <pic:blipFill>
                    <a:blip r:embed="rId53"/>
                    <a:stretch>
                      <a:fillRect/>
                    </a:stretch>
                  </pic:blipFill>
                  <pic:spPr bwMode="auto">
                    <a:xfrm>
                      <a:off x="0" y="0"/>
                      <a:ext cx="5940425" cy="4522470"/>
                    </a:xfrm>
                    <a:prstGeom prst="rect">
                      <a:avLst/>
                    </a:prstGeom>
                  </pic:spPr>
                </pic:pic>
              </a:graphicData>
            </a:graphic>
          </wp:inline>
        </w:drawing>
      </w:r>
    </w:p>
    <w:p>
      <w:pPr>
        <w:pStyle w:val="Caption"/>
        <w:rPr/>
      </w:pPr>
      <w:bookmarkStart w:id="137" w:name="_Ref155620330"/>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26</w:t>
      </w:r>
      <w:r>
        <w:rPr/>
        <w:fldChar w:fldCharType="end"/>
      </w:r>
      <w:bookmarkEnd w:id="137"/>
      <w:r>
        <w:rPr/>
        <w:t xml:space="preserve"> – Картосхема расположения КОС пгт. Новый Городок</w:t>
      </w:r>
    </w:p>
    <w:p>
      <w:pPr>
        <w:pStyle w:val="Normal"/>
        <w:rPr/>
      </w:pPr>
      <w:r>
        <w:rPr/>
        <w:t>По стальному напорному трубопроводу от КНС № 2 сточные воды поступают в бак-усреднитель. Далее сточные воды направляются в две радиальные песколовки, предварительно пройдя ручные решетки, где улавливаются наиболее крупные взвеси.</w:t>
      </w:r>
    </w:p>
    <w:p>
      <w:pPr>
        <w:pStyle w:val="Normal"/>
        <w:rPr/>
      </w:pPr>
      <w:r>
        <w:rPr/>
        <w:t>В двух горизонтальных песколовках с круговым движением воды диаметром 4 м, высотой 3,2 м улавливаются тяжелые минеральные вещества, главным образом песок, перед первичными отстойниками.</w:t>
      </w:r>
    </w:p>
    <w:p>
      <w:pPr>
        <w:pStyle w:val="Normal"/>
        <w:rPr/>
      </w:pPr>
      <w:r>
        <w:rPr/>
        <w:t>Выпавший в песколовках песок удаляется для подсушивания на песковые площадки на естественном основании с дренажом. Обезвоженный песок вывозится по договору на полигон специализированной организации, имеющей лицензию на право обращения с опасными отходами.</w:t>
      </w:r>
    </w:p>
    <w:p>
      <w:pPr>
        <w:pStyle w:val="Normal"/>
        <w:rPr/>
      </w:pPr>
      <w:r>
        <w:rPr/>
        <w:t>Первичные двухъярусные отстойники в количестве 10 шт. диаметром 9,0 м, высотой 9,7 м служат для отстаивания стоков перед биологической очисткой.</w:t>
      </w:r>
    </w:p>
    <w:p>
      <w:pPr>
        <w:pStyle w:val="Normal"/>
        <w:rPr/>
      </w:pPr>
      <w:r>
        <w:rPr/>
        <w:t>Удаление осадка из первичных отстойников производится по мере созревания под гидравлическим напором на иловые площадки. Ил подсушивается и вывозится по договору на полигон специализированной организации, имеющей лицензию на право обращения с опасными отходами.</w:t>
      </w:r>
    </w:p>
    <w:p>
      <w:pPr>
        <w:pStyle w:val="Normal"/>
        <w:rPr/>
      </w:pPr>
      <w:r>
        <w:rPr/>
        <w:t>Для биологической очистки сточных вод предназначены два биофильтра, загруженных коксом. Загрузка биофильтров с начала эксплуатации не менялась.</w:t>
      </w:r>
    </w:p>
    <w:p>
      <w:pPr>
        <w:pStyle w:val="Normal"/>
        <w:rPr/>
      </w:pPr>
      <w:r>
        <w:rPr/>
        <w:t>Проходя через фильтрующую загрузку биофильтра, загрязненная вода оставляет на ней нерастворимые примеси, не осевшие в первичных отстойниках, а также коллоидные и растворенные органические вещества. Эти вещества сорбируются биологической пленкой, покрывающей поверхность каждого кусочка загруженного в биофильтр материала. Густонаселяющие биопленку микроорганизмы окисляют органические вещества. Отработанная и отмершая биопленка смывается протекающей сточной водой и выносится из биофильтра.</w:t>
      </w:r>
    </w:p>
    <w:p>
      <w:pPr>
        <w:pStyle w:val="Normal"/>
        <w:rPr/>
      </w:pPr>
      <w:r>
        <w:rPr/>
        <w:t>Далее сточные воды поступают в шесть вертикальных вторичных отстойников: четыре из них диаметром 6,0 м и высотой 5,8 м, два диаметром 8,0 м, высотой 8,1 м. Вторичные отстойники служат для задержания биологической пленки, поступающей с водой из биофильтров. Выпавший во вторичных отстойниках осадок удаляется на иловые площадки.</w:t>
      </w:r>
    </w:p>
    <w:p>
      <w:pPr>
        <w:pStyle w:val="Normal"/>
        <w:rPr/>
      </w:pPr>
      <w:r>
        <w:rPr/>
        <w:t>Для обеззараживания очищенной воды имеются четыре контактных отстойника: два диаметром 8,0 м, высотой 7,2 м, два диаметром 6,0 м, высотой 4,9 м. Обеззараживание стоков производится жидким гипохлоритом натрия.</w:t>
      </w:r>
    </w:p>
    <w:p>
      <w:pPr>
        <w:pStyle w:val="Normal"/>
        <w:rPr/>
      </w:pPr>
      <w:r>
        <w:rPr/>
        <w:t>Очищенные стоки сбрасываются в р. Большой Бачат (выпуск № 1). Учет воды ведется с помощью лотка Паршаля.</w:t>
      </w:r>
    </w:p>
    <w:p>
      <w:pPr>
        <w:pStyle w:val="Normal"/>
        <w:rPr/>
      </w:pPr>
      <w:r>
        <w:rPr/>
        <w:t>Обследование технического состояния КОС пгт. Новый Городок показало, что сооружения, построенные в 60-е годы прошлого столетия, имеют высокую степень амортизации. Железобетонные конструкции находятся в аварийном состоянии, капитальный ремонт не проводился. Трубопроводы, чаши, резервуары и пр., выполненные из стальных элементом, подвержены сильной коррозии. Необходимо строительство новой КОС в пгт. Новый Городок.</w:t>
      </w:r>
    </w:p>
    <w:p>
      <w:pPr>
        <w:pStyle w:val="Normal"/>
        <w:rPr/>
      </w:pPr>
      <w:r>
        <w:rPr/>
        <w:t>Технологическая схема КОС пгт. Новый Городок приведена на рисунке </w:t>
      </w:r>
      <w:r>
        <w:rPr/>
        <w:fldChar w:fldCharType="begin"/>
      </w:r>
      <w:r>
        <w:rPr/>
        <w:instrText xml:space="preserve"> REF _Ref155620656 \h </w:instrText>
      </w:r>
      <w:r>
        <w:rPr/>
        <w:fldChar w:fldCharType="separate"/>
      </w:r>
      <w:r>
        <w:rPr/>
        <w:t>Рисунок 2.1.27</w:t>
      </w:r>
      <w:r>
        <w:rPr/>
        <w:fldChar w:fldCharType="end"/>
      </w:r>
      <w:r>
        <w:rPr/>
        <w:t>.</w:t>
      </w:r>
    </w:p>
    <w:p>
      <w:pPr>
        <w:pStyle w:val="Style26"/>
        <w:rPr/>
      </w:pPr>
      <w:r>
        <w:rPr/>
        <w:drawing>
          <wp:inline distT="0" distB="0" distL="0" distR="0">
            <wp:extent cx="5940425" cy="7240270"/>
            <wp:effectExtent l="0" t="0" r="0" b="0"/>
            <wp:docPr id="29"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2" descr=""/>
                    <pic:cNvPicPr>
                      <a:picLocks noChangeAspect="1" noChangeArrowheads="1"/>
                    </pic:cNvPicPr>
                  </pic:nvPicPr>
                  <pic:blipFill>
                    <a:blip r:embed="rId54"/>
                    <a:stretch>
                      <a:fillRect/>
                    </a:stretch>
                  </pic:blipFill>
                  <pic:spPr bwMode="auto">
                    <a:xfrm>
                      <a:off x="0" y="0"/>
                      <a:ext cx="5940425" cy="7240270"/>
                    </a:xfrm>
                    <a:prstGeom prst="rect">
                      <a:avLst/>
                    </a:prstGeom>
                  </pic:spPr>
                </pic:pic>
              </a:graphicData>
            </a:graphic>
          </wp:inline>
        </w:drawing>
      </w:r>
    </w:p>
    <w:p>
      <w:pPr>
        <w:pStyle w:val="Caption"/>
        <w:rPr/>
      </w:pPr>
      <w:bookmarkStart w:id="138" w:name="_Ref155620656"/>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27</w:t>
      </w:r>
      <w:r>
        <w:rPr/>
        <w:fldChar w:fldCharType="end"/>
      </w:r>
      <w:bookmarkEnd w:id="138"/>
      <w:r>
        <w:rPr/>
        <w:t xml:space="preserve"> – Технологическая схема КОС пгт. Новый Городок</w:t>
      </w:r>
    </w:p>
    <w:p>
      <w:pPr>
        <w:pStyle w:val="Normal"/>
        <w:rPr/>
      </w:pPr>
      <w:r>
        <w:rPr/>
        <w:t>1 – приемная камера; 2 – бак-усреднитель; 3 – радиальные песколовки; 4 – распределительная чаша перед первичными отстойниками; 5 – первичные отстойники; 6 – сборная чаша перед биофильтрами; 7 – биофильтры; 8 – сборная чаша после биофильтров; 9 – вторичные отстойники; 10 – контактные отстойники; 11 – хлораторная; 12 – иловые площадки; 13 – песковые площадки</w:t>
      </w:r>
    </w:p>
    <w:p>
      <w:pPr>
        <w:pStyle w:val="Normal"/>
        <w:rPr/>
      </w:pPr>
      <w:r>
        <w:rPr/>
        <w:t>Система ливневой канализации в пгт. Новый Городок отсутствует. Ливневые и паводковые воды с территории поселка поступают в систему канализации и транспортируются совместно с хозбытовыми стоками на очистные сооружения.</w:t>
      </w:r>
    </w:p>
    <w:p>
      <w:pPr>
        <w:pStyle w:val="Normal"/>
        <w:rPr/>
      </w:pPr>
      <w:r>
        <w:rPr/>
        <w:t>Качественный состав сточных вод на выходе из очистных сооружений не соответствует требованиям действующих нормативов допустимого сброса (НДС).</w:t>
      </w:r>
    </w:p>
    <w:p>
      <w:pPr>
        <w:pStyle w:val="Normal"/>
        <w:rPr/>
      </w:pPr>
      <w:r>
        <w:rPr/>
        <w:t>Причиной недостаточной эффективности работы станции очистки является износ очистных сооружений, нарушения технологического режима эксплуатации, отсутствие доочистки, также гидравлическая перегрузка по количеству поступающих стоков, кроме того, имеют место залповые сбросы из выгребных ям.</w:t>
      </w:r>
    </w:p>
    <w:p>
      <w:pPr>
        <w:pStyle w:val="Normal"/>
        <w:rPr/>
      </w:pPr>
      <w:r>
        <w:rPr/>
        <w:t>Очистные сооружения работают неэффективно по причине износа, в плохом состоянии находятся двухъярусные отстойники и биофильтры. Сооружения полностью выработали предельный срок эксплуатации (50 лет) и находятся в таком состоянии, что требуется проектирование и строительство новых очистных сооружений.</w:t>
      </w:r>
    </w:p>
    <w:p>
      <w:pPr>
        <w:pStyle w:val="Normal"/>
        <w:rPr>
          <w:b/>
          <w:bCs/>
        </w:rPr>
      </w:pPr>
      <w:r>
        <w:rPr>
          <w:b/>
          <w:bCs/>
        </w:rPr>
        <w:t>Очистные сооружения мкр. Бабанаково</w:t>
      </w:r>
    </w:p>
    <w:p>
      <w:pPr>
        <w:pStyle w:val="Normal"/>
        <w:rPr/>
      </w:pPr>
      <w:r>
        <w:rPr/>
        <w:t>Очистные сооружения мкр. Бабанаково построены в 1965 году. Проектная мощность сооружений составляет 1,29 тыс. м</w:t>
      </w:r>
      <w:r>
        <w:rPr>
          <w:vertAlign w:val="superscript"/>
        </w:rPr>
        <w:t>3</w:t>
      </w:r>
      <w:r>
        <w:rPr/>
        <w:t>/сут., фактическое поступление стоков на очистные сооружения составляет 1,8 тыс. м</w:t>
      </w:r>
      <w:r>
        <w:rPr>
          <w:vertAlign w:val="superscript"/>
        </w:rPr>
        <w:t>3</w:t>
      </w:r>
      <w:r>
        <w:rPr/>
        <w:t>/сут.</w:t>
      </w:r>
    </w:p>
    <w:p>
      <w:pPr>
        <w:pStyle w:val="Normal"/>
        <w:rPr/>
      </w:pPr>
      <w:r>
        <w:rPr/>
        <w:t>Сточные воды поступают в приемную камеру очистных сооружений, затем проходят через ручные решетки и горизонтально-щелевую песколовку. Горизонтально-щелевая песколовка размером 0,3х3,5 м, глубиной 0,5 м состоит из двух отделений. В песколовке улавливаются тяжелые минеральные вещества перед первичными отстойниками. В течение суток песок из песколовки удаляется на песковую площадку для подсушивания. Обезвоженный песок вывозится по договору на полигон специализированной организации, имеющей лицензию на право обращения с опасными отходами.</w:t>
      </w:r>
    </w:p>
    <w:p>
      <w:pPr>
        <w:pStyle w:val="Normal"/>
        <w:rPr/>
      </w:pPr>
      <w:r>
        <w:rPr/>
        <w:t>Первичные двухъярусные отстойники в количестве 4 шт. диаметром 8 м, высотой 10 м служат для отстаивания стоков перед биологической очисткой на биофильтрах.</w:t>
      </w:r>
    </w:p>
    <w:p>
      <w:pPr>
        <w:pStyle w:val="Normal"/>
        <w:rPr/>
      </w:pPr>
      <w:r>
        <w:rPr/>
        <w:t>Удаление осадка из первичных отстойников производится по мере созревания под гидравлическим напором на иловые площадки. Ил подсушивается и вывозится по договору на полигон специализированной организации, имеющей лицензию на право обращения с опасными отходами.</w:t>
      </w:r>
    </w:p>
    <w:p>
      <w:pPr>
        <w:pStyle w:val="Normal"/>
        <w:rPr/>
      </w:pPr>
      <w:r>
        <w:rPr/>
        <w:t>Сточные воды после первичных отстойников насосной станцией подаются для биологической очистки на биофильтр, состоящий из двух карт, загруженных коксом. Проходя через фильтрующую загрузку биофильтра, загрязненная вода оставляет на ней нерастворимые примеси, не осевшие в первичных отстойниках, а также коллоидные и растворенные органические вещества. Эти вещества сорбируются биологической пленкой, покрывающей поверхность каждого кусочка загруженного в биофильтр материала. Густонаселяющие биопленку микроорганизмы окисляют органические вещества. Отработанная и отмершая биопленка смывается протекающей сточной водой и выносится из биофильтра.</w:t>
      </w:r>
    </w:p>
    <w:p>
      <w:pPr>
        <w:pStyle w:val="Normal"/>
        <w:rPr/>
      </w:pPr>
      <w:r>
        <w:rPr/>
        <w:t>Далее сточные воды поступают в два вертикальных вторичных отстойника диаметром 5 м и высотой 4,8 м. Вторичные отстойники служат для задержания биологической пленки, поступающей с водой из биофильтров. Выпавший во вторичных отстойниках осадок удаляется на иловые площадки.</w:t>
      </w:r>
    </w:p>
    <w:p>
      <w:pPr>
        <w:pStyle w:val="Normal"/>
        <w:rPr/>
      </w:pPr>
      <w:r>
        <w:rPr/>
        <w:t>Одновременно они являются контактными отстойниками для обеззараживания очищенной сточной воды. Обеззараживание стоков производится жидким гипохлоритом натрия.</w:t>
      </w:r>
    </w:p>
    <w:p>
      <w:pPr>
        <w:pStyle w:val="Normal"/>
        <w:rPr/>
      </w:pPr>
      <w:r>
        <w:rPr/>
        <w:t>Очищенные стоки сбрасываются в р. Большой Бачат (выпуск № 2). Учет воды ведется косвенным методом по производительности насосов и времени их работы.</w:t>
      </w:r>
    </w:p>
    <w:p>
      <w:pPr>
        <w:pStyle w:val="Normal"/>
        <w:rPr/>
      </w:pPr>
      <w:r>
        <w:rPr/>
        <w:t>Обследование технического состояния существующих КОС мкр. Бабанаково показало, что объект запроектирован и построен по устаревшей технологии. Все объекты комплекса ОСК имеет высокую степень амортизации, не соответствуют требованиям нормативно-технической документации и находятся в аварийном состоянии.</w:t>
      </w:r>
    </w:p>
    <w:p>
      <w:pPr>
        <w:pStyle w:val="Normal"/>
        <w:rPr/>
      </w:pPr>
      <w:r>
        <w:rPr/>
        <w:t>Капитальный ремонт и реконструкция существующих очистных сооружений канализации невозможна, большинство сооружений КОС находятся в разрушенном состоянии.</w:t>
      </w:r>
    </w:p>
    <w:p>
      <w:pPr>
        <w:pStyle w:val="Normal"/>
        <w:rPr/>
      </w:pPr>
      <w:r>
        <w:rPr/>
        <w:t>Для достижения в очищенной сточной жидкости ПДК по всем показателям (взвешенным веществам, БПКпол., азоту аммонийному, азоту нитритному и азоту нитратному) необходимо строительство нового комплекса КОС мкр. Бабанаково с использованием новых технологией удаления азота и фосфора, а также обработки осадка.</w:t>
      </w:r>
    </w:p>
    <w:p>
      <w:pPr>
        <w:pStyle w:val="Normal"/>
        <w:rPr/>
      </w:pPr>
      <w:r>
        <w:rPr/>
        <w:t>Производительность новых очистных сооружений канализации должна соответствовать фактическому притоку.</w:t>
      </w:r>
    </w:p>
    <w:p>
      <w:pPr>
        <w:pStyle w:val="Normal"/>
        <w:rPr/>
      </w:pPr>
      <w:r>
        <w:rPr/>
        <w:t>Картосхема расположения КОС мкр. Бабанаково приведена на рисунке </w:t>
      </w:r>
      <w:r>
        <w:rPr/>
        <w:fldChar w:fldCharType="begin"/>
      </w:r>
      <w:r>
        <w:rPr/>
        <w:instrText xml:space="preserve"> REF _Ref155608203 \h </w:instrText>
      </w:r>
      <w:r>
        <w:rPr/>
        <w:fldChar w:fldCharType="separate"/>
      </w:r>
      <w:r>
        <w:rPr/>
        <w:t>Рисунок 2.1.28</w:t>
      </w:r>
      <w:r>
        <w:rPr/>
        <w:fldChar w:fldCharType="end"/>
      </w:r>
      <w:r>
        <w:rPr/>
        <w:t>.</w:t>
      </w:r>
    </w:p>
    <w:p>
      <w:pPr>
        <w:pStyle w:val="Style26"/>
        <w:rPr/>
      </w:pPr>
      <w:r>
        <w:rPr/>
        <w:drawing>
          <wp:inline distT="0" distB="0" distL="0" distR="0">
            <wp:extent cx="5940425" cy="3486150"/>
            <wp:effectExtent l="0" t="0" r="0" b="0"/>
            <wp:docPr id="30"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7" descr=""/>
                    <pic:cNvPicPr>
                      <a:picLocks noChangeAspect="1" noChangeArrowheads="1"/>
                    </pic:cNvPicPr>
                  </pic:nvPicPr>
                  <pic:blipFill>
                    <a:blip r:embed="rId55"/>
                    <a:stretch>
                      <a:fillRect/>
                    </a:stretch>
                  </pic:blipFill>
                  <pic:spPr bwMode="auto">
                    <a:xfrm>
                      <a:off x="0" y="0"/>
                      <a:ext cx="5940425" cy="3486150"/>
                    </a:xfrm>
                    <a:prstGeom prst="rect">
                      <a:avLst/>
                    </a:prstGeom>
                  </pic:spPr>
                </pic:pic>
              </a:graphicData>
            </a:graphic>
          </wp:inline>
        </w:drawing>
      </w:r>
    </w:p>
    <w:p>
      <w:pPr>
        <w:pStyle w:val="Caption"/>
        <w:rPr/>
      </w:pPr>
      <w:bookmarkStart w:id="139" w:name="_Ref155608203"/>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28</w:t>
      </w:r>
      <w:r>
        <w:rPr/>
        <w:fldChar w:fldCharType="end"/>
      </w:r>
      <w:bookmarkEnd w:id="139"/>
      <w:r>
        <w:rPr/>
        <w:t xml:space="preserve"> – Картосхема расположения КОС мкр. Бабанаково</w:t>
      </w:r>
    </w:p>
    <w:p>
      <w:pPr>
        <w:pStyle w:val="Normal"/>
        <w:rPr/>
      </w:pPr>
      <w:r>
        <w:rPr/>
        <w:t>Система ливневой канализации в мкр. Бабанаково отсутствует. Ливневые и паводковые воды с территории поселка поступают в систему канализации и транспортируются совместно с хозбытовыми стоками на очистные сооружения.</w:t>
      </w:r>
    </w:p>
    <w:p>
      <w:pPr>
        <w:pStyle w:val="Normal"/>
        <w:rPr/>
      </w:pPr>
      <w:r>
        <w:rPr/>
        <w:t>Качественный состав сточных вод на выходе из очистных сооружений не соответствует требованиям действующих нормативов допустимого сброса (НДС).</w:t>
      </w:r>
    </w:p>
    <w:p>
      <w:pPr>
        <w:pStyle w:val="Normal"/>
        <w:rPr/>
      </w:pPr>
      <w:r>
        <w:rPr/>
        <w:t>Причиной недостаточной эффективности работы станции очистки является износ очистных сооружений и гидравлическая перегрузка по количеству поступающих стоков, также имеют место залповые сбросы из выгребных ям.</w:t>
      </w:r>
    </w:p>
    <w:p>
      <w:pPr>
        <w:pStyle w:val="Normal"/>
        <w:rPr/>
      </w:pPr>
      <w:r>
        <w:rPr/>
        <w:t>Очистные сооружения работают неэффективно: блоки сооружений механической и биологической очистки работают неудовлетворительно (эффективность очистки составляет 35,5%).</w:t>
      </w:r>
    </w:p>
    <w:p>
      <w:pPr>
        <w:pStyle w:val="Normal"/>
        <w:rPr/>
      </w:pPr>
      <w:r>
        <w:rPr/>
        <w:t>Сооружения полностью выработали предельный срок эксплуатации (50 лет) и находятся в таком состоянии, что требуется проектирование и строительство новых очистных сооружений.</w:t>
      </w:r>
    </w:p>
    <w:p>
      <w:pPr>
        <w:pStyle w:val="Normal"/>
        <w:rPr>
          <w:b/>
          <w:bCs/>
        </w:rPr>
      </w:pPr>
      <w:r>
        <w:rPr>
          <w:b/>
          <w:bCs/>
        </w:rPr>
        <w:t>Очистные сооружения пгт. Бачатский</w:t>
      </w:r>
    </w:p>
    <w:p>
      <w:pPr>
        <w:pStyle w:val="Normal"/>
        <w:rPr/>
      </w:pPr>
      <w:r>
        <w:rPr/>
        <w:t>Проектная производительность очистных сооружений пгт. Бачатский 10,1 тыс. м</w:t>
      </w:r>
      <w:r>
        <w:rPr>
          <w:vertAlign w:val="superscript"/>
        </w:rPr>
        <w:t>3</w:t>
      </w:r>
      <w:r>
        <w:rPr/>
        <w:t>/сут. Фактический приток сточных вод на очистные сооружения – 2,9 тыс. м</w:t>
      </w:r>
      <w:r>
        <w:rPr>
          <w:vertAlign w:val="superscript"/>
        </w:rPr>
        <w:t>3</w:t>
      </w:r>
      <w:r>
        <w:rPr/>
        <w:t>/сут.</w:t>
      </w:r>
    </w:p>
    <w:p>
      <w:pPr>
        <w:pStyle w:val="Normal"/>
        <w:rPr/>
      </w:pPr>
      <w:r>
        <w:rPr/>
        <w:t>Сточные воды поступают в приемную камеру, затем проходят через решетки и песколовки.</w:t>
      </w:r>
    </w:p>
    <w:p>
      <w:pPr>
        <w:pStyle w:val="Normal"/>
        <w:rPr/>
      </w:pPr>
      <w:r>
        <w:rPr/>
        <w:t>Горизонтальные песколовки с круговым движением воды (диаметром 4 м, высотой 3,5 м), находятся в работе поочередно. Осадок из песколовки удаляется на песковые площадки гидроэлеватором.</w:t>
      </w:r>
    </w:p>
    <w:p>
      <w:pPr>
        <w:pStyle w:val="Normal"/>
        <w:rPr/>
      </w:pPr>
      <w:r>
        <w:rPr/>
        <w:t>Далее стоки поступают на двухъярусные первичные отстойники (4 шт. диаметром 10 м, 8 шт. диаметром 12 м). Сброженный осадок с двухъярусных отстойников под гидростатическим давлением выпускается на иловые площадки. Дренажная вода с иловых площадок поступает в резервуар грязных стоков и подается в «голову» сооружений - в приемную камеру.</w:t>
      </w:r>
    </w:p>
    <w:p>
      <w:pPr>
        <w:pStyle w:val="Normal"/>
        <w:rPr/>
      </w:pPr>
      <w:r>
        <w:rPr/>
        <w:t>Далее стоки поступают в биофильтры №№ 1, 2, 3. Существует 4 карты в биофильтрах № 1, 2 – капельные аэрофильтры, две карты в биофильтре № 3 – высоконагружаемые.</w:t>
      </w:r>
    </w:p>
    <w:p>
      <w:pPr>
        <w:pStyle w:val="Normal"/>
        <w:rPr/>
      </w:pPr>
      <w:r>
        <w:rPr/>
        <w:t>Далее сточная вода, прошедшая биологическую очистку, поступает на вторичные вертикальные одноярусные отстойники (6 шт. диаметром 9 м.). Откачивание активного ила производится каждый день в резервуар в иловую насосную станцию и подается в лоток после песколовок на повторную очистку.</w:t>
      </w:r>
    </w:p>
    <w:p>
      <w:pPr>
        <w:pStyle w:val="Normal"/>
        <w:rPr/>
      </w:pPr>
      <w:r>
        <w:rPr/>
        <w:t>Далее вода поступает в насосно-фильтровальную станцию на барабанные сетки (3 шт.), и фильтры доочистки (6 шт.), загруженные базальтовым щебнем. Промывка барабанных сеток и щебеночных фильтров доочистки производится очищенной технологической водой с резервуара очищенной воды. Барабанные сетки промываются каждый час, фильтры доочистки 2 раза в сутки. Промывочные воды направляются в резервуар грязных стоков и далее закачиваются в приемную камеру для очистки.</w:t>
      </w:r>
    </w:p>
    <w:p>
      <w:pPr>
        <w:pStyle w:val="Normal"/>
        <w:rPr/>
      </w:pPr>
      <w:r>
        <w:rPr/>
        <w:t>После всех стадий очистки, вода поступает в лоток на выход, обеззараживается гипохлоритом натрия. Очищенная вода по самотечному коллектору сбрасывается в р. Малый Бачат.</w:t>
      </w:r>
    </w:p>
    <w:p>
      <w:pPr>
        <w:pStyle w:val="Normal"/>
        <w:rPr/>
      </w:pPr>
      <w:r>
        <w:rPr/>
        <w:t xml:space="preserve">Технологическая схема КОС пгт. Бачатский приведена на рисунке </w:t>
      </w:r>
      <w:r>
        <w:rPr/>
        <w:fldChar w:fldCharType="begin"/>
      </w:r>
      <w:r>
        <w:rPr/>
        <w:instrText xml:space="preserve"> REF _Ref155607780 \h </w:instrText>
      </w:r>
      <w:r>
        <w:rPr/>
        <w:fldChar w:fldCharType="separate"/>
      </w:r>
      <w:r>
        <w:rPr/>
        <w:t>Рисунок 2.1.29</w:t>
      </w:r>
      <w:r>
        <w:rPr/>
        <w:fldChar w:fldCharType="end"/>
      </w:r>
      <w:r>
        <w:rPr/>
        <w:t>.</w:t>
      </w:r>
    </w:p>
    <w:p>
      <w:pPr>
        <w:pStyle w:val="Style26"/>
        <w:rPr/>
      </w:pPr>
      <w:r>
        <w:rPr/>
        <w:drawing>
          <wp:inline distT="0" distB="0" distL="0" distR="0">
            <wp:extent cx="5940425" cy="6316345"/>
            <wp:effectExtent l="0" t="0" r="0" b="0"/>
            <wp:docPr id="31"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3" descr=""/>
                    <pic:cNvPicPr>
                      <a:picLocks noChangeAspect="1" noChangeArrowheads="1"/>
                    </pic:cNvPicPr>
                  </pic:nvPicPr>
                  <pic:blipFill>
                    <a:blip r:embed="rId56"/>
                    <a:stretch>
                      <a:fillRect/>
                    </a:stretch>
                  </pic:blipFill>
                  <pic:spPr bwMode="auto">
                    <a:xfrm>
                      <a:off x="0" y="0"/>
                      <a:ext cx="5940425" cy="6316345"/>
                    </a:xfrm>
                    <a:prstGeom prst="rect">
                      <a:avLst/>
                    </a:prstGeom>
                  </pic:spPr>
                </pic:pic>
              </a:graphicData>
            </a:graphic>
          </wp:inline>
        </w:drawing>
      </w:r>
    </w:p>
    <w:p>
      <w:pPr>
        <w:pStyle w:val="Caption"/>
        <w:rPr/>
      </w:pPr>
      <w:bookmarkStart w:id="140" w:name="_Ref155607780"/>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29</w:t>
      </w:r>
      <w:r>
        <w:rPr/>
        <w:fldChar w:fldCharType="end"/>
      </w:r>
      <w:bookmarkEnd w:id="140"/>
      <w:r>
        <w:rPr/>
        <w:t xml:space="preserve"> – Технологическая схема КОС пгт. Бачатский</w:t>
      </w:r>
    </w:p>
    <w:p>
      <w:pPr>
        <w:pStyle w:val="Normal"/>
        <w:rPr/>
      </w:pPr>
      <w:r>
        <w:rPr/>
        <w:t>1 – приемная камера сточных вод; 2 – здание решеток; 3 – горизонтальные песколовки с круговым движением воды; 4.1 – первичные двухъярусные отстойники диаметрами 10 м; 4.2 – первичные двухъярусные отстойники диаметрами 12 м; 5 – биофильтр № 1 (обрушившийся); 6 – биофильтр № 2 (капельные) ; 7 – аэрофильтр № 3 (высоконагружаемые); 8 – вторичные вертикальные одноярусные отстойники; 9 – насосно-фильтровальная станция; 10 – строение технического назначения (смешение хлора); 11 – резервуары для воды чистых и грязных стоков V=250 м</w:t>
      </w:r>
      <w:r>
        <w:rPr>
          <w:vertAlign w:val="superscript"/>
        </w:rPr>
        <w:t>3</w:t>
      </w:r>
      <w:r>
        <w:rPr/>
        <w:t>; 12.1 – иловая площадка № 1; 12.2 – иловая площадка № 2; 12.3 – иловая площадка № 3; 13 – здание дозирования сжиженного хлора (выведено из эксплуатации)</w:t>
      </w:r>
    </w:p>
    <w:p>
      <w:pPr>
        <w:pStyle w:val="Normal"/>
        <w:rPr/>
      </w:pPr>
      <w:bookmarkStart w:id="141" w:name="_Hlk155607824"/>
      <w:r>
        <w:rPr/>
        <w:t>Картосхема расположения КОС пгт. Бачатский</w:t>
      </w:r>
      <w:bookmarkEnd w:id="141"/>
      <w:r>
        <w:rPr/>
        <w:t xml:space="preserve"> приведена на рисунке </w:t>
      </w:r>
      <w:r>
        <w:rPr/>
        <w:fldChar w:fldCharType="begin"/>
      </w:r>
      <w:r>
        <w:rPr/>
        <w:instrText xml:space="preserve"> REF _Ref155607796 \h </w:instrText>
      </w:r>
      <w:r>
        <w:rPr/>
        <w:fldChar w:fldCharType="separate"/>
      </w:r>
      <w:r>
        <w:rPr/>
        <w:t>Рисунок 2.1.30</w:t>
      </w:r>
      <w:r>
        <w:rPr/>
        <w:fldChar w:fldCharType="end"/>
      </w:r>
      <w:r>
        <w:rPr/>
        <w:t>.</w:t>
      </w:r>
    </w:p>
    <w:p>
      <w:pPr>
        <w:pStyle w:val="Style26"/>
        <w:rPr/>
      </w:pPr>
      <w:r>
        <w:rPr/>
        <w:drawing>
          <wp:inline distT="0" distB="0" distL="0" distR="0">
            <wp:extent cx="5940425" cy="5165725"/>
            <wp:effectExtent l="0" t="0" r="0" b="0"/>
            <wp:docPr id="3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5" descr=""/>
                    <pic:cNvPicPr>
                      <a:picLocks noChangeAspect="1" noChangeArrowheads="1"/>
                    </pic:cNvPicPr>
                  </pic:nvPicPr>
                  <pic:blipFill>
                    <a:blip r:embed="rId57"/>
                    <a:stretch>
                      <a:fillRect/>
                    </a:stretch>
                  </pic:blipFill>
                  <pic:spPr bwMode="auto">
                    <a:xfrm>
                      <a:off x="0" y="0"/>
                      <a:ext cx="5940425" cy="5165725"/>
                    </a:xfrm>
                    <a:prstGeom prst="rect">
                      <a:avLst/>
                    </a:prstGeom>
                  </pic:spPr>
                </pic:pic>
              </a:graphicData>
            </a:graphic>
          </wp:inline>
        </w:drawing>
      </w:r>
    </w:p>
    <w:p>
      <w:pPr>
        <w:pStyle w:val="Caption"/>
        <w:rPr/>
      </w:pPr>
      <w:bookmarkStart w:id="142" w:name="_Ref155607796"/>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30</w:t>
      </w:r>
      <w:r>
        <w:rPr/>
        <w:fldChar w:fldCharType="end"/>
      </w:r>
      <w:bookmarkEnd w:id="142"/>
      <w:r>
        <w:rPr/>
        <w:t xml:space="preserve"> – Картосхема расположения КОС пгт. Бачатский</w:t>
      </w:r>
    </w:p>
    <w:p>
      <w:pPr>
        <w:pStyle w:val="Normal"/>
        <w:rPr/>
      </w:pPr>
      <w:r>
        <w:rPr/>
        <w:t>Технологическая схема очистки КОС пгт. Бачатский приведена на рисунке </w:t>
      </w:r>
      <w:r>
        <w:rPr/>
        <w:fldChar w:fldCharType="begin"/>
      </w:r>
      <w:r>
        <w:rPr/>
        <w:instrText xml:space="preserve"> REF _Ref155604796 \h </w:instrText>
      </w:r>
      <w:r>
        <w:rPr/>
        <w:fldChar w:fldCharType="separate"/>
      </w:r>
      <w:r>
        <w:rPr/>
        <w:t>Рисунок 2.1.31</w:t>
      </w:r>
      <w:r>
        <w:rPr/>
        <w:fldChar w:fldCharType="end"/>
      </w:r>
      <w:r>
        <w:rPr/>
        <w:t>.</w:t>
      </w:r>
    </w:p>
    <w:p>
      <w:pPr>
        <w:pStyle w:val="Style26"/>
        <w:rPr/>
      </w:pPr>
      <w:r>
        <w:rPr/>
        <w:drawing>
          <wp:inline distT="0" distB="0" distL="0" distR="0">
            <wp:extent cx="5940425" cy="2014220"/>
            <wp:effectExtent l="0" t="0" r="0" b="0"/>
            <wp:docPr id="33"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4" descr=""/>
                    <pic:cNvPicPr>
                      <a:picLocks noChangeAspect="1" noChangeArrowheads="1"/>
                    </pic:cNvPicPr>
                  </pic:nvPicPr>
                  <pic:blipFill>
                    <a:blip r:embed="rId58"/>
                    <a:stretch>
                      <a:fillRect/>
                    </a:stretch>
                  </pic:blipFill>
                  <pic:spPr bwMode="auto">
                    <a:xfrm>
                      <a:off x="0" y="0"/>
                      <a:ext cx="5940425" cy="2014220"/>
                    </a:xfrm>
                    <a:prstGeom prst="rect">
                      <a:avLst/>
                    </a:prstGeom>
                  </pic:spPr>
                </pic:pic>
              </a:graphicData>
            </a:graphic>
          </wp:inline>
        </w:drawing>
      </w:r>
    </w:p>
    <w:p>
      <w:pPr>
        <w:pStyle w:val="Caption"/>
        <w:rPr/>
      </w:pPr>
      <w:bookmarkStart w:id="143" w:name="_Ref155604796"/>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31</w:t>
      </w:r>
      <w:r>
        <w:rPr/>
        <w:fldChar w:fldCharType="end"/>
      </w:r>
      <w:bookmarkEnd w:id="143"/>
      <w:r>
        <w:rPr/>
        <w:t xml:space="preserve"> – Технологическая схема очистки КОС пгт. Бачатский</w:t>
      </w:r>
    </w:p>
    <w:p>
      <w:pPr>
        <w:pStyle w:val="Normal"/>
        <w:rPr/>
      </w:pPr>
      <w:r>
        <w:rPr/>
        <w:t>Существующие очистные сооружения пгт. Бачатский работают неэффективно, качество очищенных сточных вод не удовлетворяет действующим требованиям, предъявляемым к очищенным стокам, сбрасываемым в р. Малый Бачат. Причинами неэффективной работы очистных сооружений являются устаревшая технология очистки, не соответствующая современным требованиям, предъявляемым к качеству очищенных сточных вод (очистные сооружения были построены по проекту 1964 года), а также неудовлетворительное техническое состояние очистных сооружений: по данным ООО «ЭК» износ зданий составляет 85%, износ машин и оборудования – 52,4%.</w:t>
      </w:r>
    </w:p>
    <w:p>
      <w:pPr>
        <w:pStyle w:val="Normal"/>
        <w:rPr/>
      </w:pPr>
      <w:r>
        <w:rPr/>
        <w:t>Обследование технического состояния КОС пгт. Бачатский показало, что сооружения, построенные в 60-е годы прошлого столетия, имеют высокую степень амортизации. Железобетонные конструкции находятся в ограниченно работоспособном и аварийном состоянии, капитальный ремонт не проводился.</w:t>
      </w:r>
    </w:p>
    <w:p>
      <w:pPr>
        <w:pStyle w:val="Normal"/>
        <w:rPr/>
      </w:pPr>
      <w:r>
        <w:rPr/>
        <w:t>Необходимо строительство новых КОС с использованием существующего узла доочистки (насосно-фильтровальной станции) после его реконструкции и замене фильтрующего материала.</w:t>
      </w:r>
    </w:p>
    <w:p>
      <w:pPr>
        <w:pStyle w:val="Normal"/>
        <w:rPr/>
      </w:pPr>
      <w:r>
        <w:rPr/>
        <w:t>Информация о локальных очистных сооружениях, создаваемых абонентами, отсутствует.</w:t>
      </w:r>
    </w:p>
    <w:p>
      <w:pPr>
        <w:pStyle w:val="Normal"/>
        <w:rPr/>
      </w:pPr>
      <w:r>
        <w:rPr/>
        <w:t xml:space="preserve">Сведения об оборудовании, установленном на КОС ООО «БелГОС» и ООО «ЭК» представлены в таблице </w:t>
      </w:r>
      <w:r>
        <w:rPr/>
        <w:fldChar w:fldCharType="begin"/>
      </w:r>
      <w:r>
        <w:rPr/>
        <w:instrText xml:space="preserve"> REF _Ref155447085 \h </w:instrText>
      </w:r>
      <w:r>
        <w:rPr/>
        <w:fldChar w:fldCharType="separate"/>
      </w:r>
      <w:r>
        <w:rPr/>
        <w:t>Таблица 2.1.27</w:t>
      </w:r>
      <w:r>
        <w:rPr/>
        <w:fldChar w:fldCharType="end"/>
      </w:r>
      <w:r>
        <w:rPr/>
        <w:t>.</w:t>
      </w:r>
    </w:p>
    <w:p>
      <w:pPr>
        <w:pStyle w:val="Style34"/>
        <w:rPr/>
      </w:pPr>
      <w:bookmarkStart w:id="144" w:name="_Ref155447085"/>
      <w:r>
        <w:rPr/>
        <w:t xml:space="preserve">Таблица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Таблица \* ARABIC </w:instrText>
      </w:r>
      <w:r>
        <w:rPr/>
        <w:fldChar w:fldCharType="separate"/>
      </w:r>
      <w:r>
        <w:rPr/>
        <w:t>27</w:t>
      </w:r>
      <w:r>
        <w:rPr/>
        <w:fldChar w:fldCharType="end"/>
      </w:r>
      <w:bookmarkEnd w:id="144"/>
      <w:r>
        <w:rPr/>
        <w:t xml:space="preserve"> – Сведения об оборудовании, установленном на КОС ООО «БелГОС» и ООО «ЭК»</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79"/>
        <w:gridCol w:w="3243"/>
        <w:gridCol w:w="1177"/>
        <w:gridCol w:w="4355"/>
      </w:tblGrid>
      <w:tr>
        <w:trPr>
          <w:tblHeader w:val="true"/>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п.п.</w:t>
            </w:r>
          </w:p>
        </w:tc>
        <w:tc>
          <w:tcPr>
            <w:tcW w:w="324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Наименование</w:t>
            </w:r>
          </w:p>
        </w:tc>
        <w:tc>
          <w:tcPr>
            <w:tcW w:w="11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Единица измерения</w:t>
            </w:r>
          </w:p>
        </w:tc>
        <w:tc>
          <w:tcPr>
            <w:tcW w:w="435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Значение параметра</w:t>
            </w:r>
          </w:p>
        </w:tc>
      </w:tr>
      <w:tr>
        <w:trPr>
          <w:tblHeader w:val="true"/>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324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11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435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877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г. Белово (ООО «БелГОС»)</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Наименование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Очистные сооружения г. Белово</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Адрес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Г. Белово, ул. Кузбасская,6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Год ввода в эксплуатацию КОС (реконструкция)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1973 (1983)</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Процент износа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83</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Проектная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30 000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Фактическая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15 886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Тип, марка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Взлет РСЛ</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Объем пропущенных стоков за 2021 год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5 798 330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1.10</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Среднесуточный объем поступающих на очистку стоков</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15 886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Состав КОС (отстойники, аэротенки, иловые карты и т.д.)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Приемная камера гашения, приемная аварийная камера, песковая площадка, горизонтальные песколовки - 2 шт., первичные отстойники, вторичные отстойники, аэротенки 3х коридорные - 2 шт., контактные резервуары - 2 коридора, резервуар активного и уплотненного ила, илоуплотнитель – 2 шт., иловые площадки</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Соответствие существующей технологической схемы проектным данным</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Соответствие качества сбрасываемых очищенных сточных вод существующим нормативам ПДК</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1.14</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Тип, марка насосного оборудования КОС</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СД 450/22,5</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СМ250-200-400/6, СМ150-125-315-4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НГ 450/22,5</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НГ 125/246 4ф</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FA20/54Е-269-FК202-4/27+10m</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200-150-4006-4</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Год ввода в эксплуатацию насосного оборудования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1991-2017, 2020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устройств плавного пуска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частотного регулирования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Необходимость реконструкции/модернизации</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877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пгт. Инской (ООО «БелГОС»)</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Наименование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Очистные сооружения пгт. Инской</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Адрес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г. Белово, пгт. Инской, мкр. Технологический, 26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Год ввода в эксплуатацию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Процент износа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82</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Проектная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10 000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Фактическая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6 262</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Тип, марка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Взлет РСЛ</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Объем пропущенных стоков за 2021 год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2 286 570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2.10</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Среднесуточный объем поступающих на очистку стоков</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м</w:t>
            </w:r>
            <w:r>
              <w:rPr>
                <w:rFonts w:eastAsia="Times New Roman" w:cs="Times New Roman"/>
                <w:sz w:val="20"/>
                <w:szCs w:val="20"/>
                <w:vertAlign w:val="superscript"/>
                <w:lang w:eastAsia="ru-RU"/>
              </w:rPr>
              <w:t>3</w:t>
            </w:r>
            <w:r>
              <w:rPr>
                <w:rFonts w:eastAsia="Times New Roman" w:cs="Times New Roman"/>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6 262</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Состав КОС (отстойники, аэротенки, иловые карты и т.д.)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Приемная камера, песколовки - 2 шт., ББО (первичные отстойники, вторичные отстойники, аэротенки, аэробный стабилизаторы) контактные резервуары, резервуар стабилизиторного ила, резервуар технической воды, иловые площадки – 3 шт.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Соответствие существующей технологической схемы проектным данным</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Соответствие качества сбрасываемых очищенных сточных вод существующим нормативам ПДК</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Соотв.</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2.14</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Тип, марка насосного оборудования КОС</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125-80-315-4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100-65-25/4</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Год ввода в эксплуатацию насосного оборудования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2002, 2007 гг</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устройств плавного пуска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Наличие частотного регулирования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Необходимость реконструкции/модернизации</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да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877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пгт. Грамотеино </w:t>
            </w:r>
            <w:r>
              <w:rPr>
                <w:rFonts w:eastAsia="Times New Roman" w:cs="Times New Roman"/>
                <w:sz w:val="20"/>
                <w:szCs w:val="20"/>
                <w:lang w:eastAsia="ru-RU"/>
              </w:rPr>
              <w:t>(ООО «БелГОС»)</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Очистные </w:t>
            </w:r>
            <w:r>
              <w:rPr>
                <w:rFonts w:eastAsia="Times New Roman" w:cs="Times New Roman"/>
                <w:sz w:val="20"/>
                <w:szCs w:val="20"/>
                <w:lang w:eastAsia="ru-RU"/>
              </w:rPr>
              <w:t>сооружения</w:t>
            </w:r>
            <w:r>
              <w:rPr>
                <w:rFonts w:eastAsia="Times New Roman" w:cs="Times New Roman"/>
                <w:color w:val="000000"/>
                <w:sz w:val="20"/>
                <w:szCs w:val="20"/>
                <w:lang w:eastAsia="ru-RU"/>
              </w:rPr>
              <w:t xml:space="preserve"> пгт. Грамотеино</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Адрес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Процент износа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87</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Проектная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5 900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Фактическая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2 686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Взлет РСЛ</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Объем пропущенных стоков за 2021 год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980 520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3.10</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Среднесуточный объем поступающих на очистку стоков</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2 686</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Состав КОС (отстойники, аэротенки, иловые карты и т.д.)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Приемная камера, песколовка, Блок емкостей (аэротенки, отстойники, контактные резервуары, аэробный стабилизатор, галерея обслуживания), блок доочистки, блок резервуаров с технологическим коридором, песковые площадки - 2шт., иловые площадки – 4 шт.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существующей технологической схемы проектным данным</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качества сбрасываемых очищенных сточных вод существующим нормативам ПДК</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3.14</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насосного оборудования КОС</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СД 80/32</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100-65-120</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 -290/18а, К 8/18</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насосного оборудования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1996, 2004</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устройств плавного пуска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частотного регулирования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Необходимость реконструкции/модернизации</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Примечание</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прил2</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877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мкр. Ивушка </w:t>
            </w:r>
            <w:r>
              <w:rPr>
                <w:rFonts w:eastAsia="Times New Roman" w:cs="Times New Roman"/>
                <w:sz w:val="20"/>
                <w:szCs w:val="20"/>
                <w:lang w:eastAsia="ru-RU"/>
              </w:rPr>
              <w:t>(ООО «БелГОС»)</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Очистные сооружения мкр. Ивушка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Адрес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 мкр. Ивушка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1994</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Процент износа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Проектная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1 400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Фактическая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681</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ЭХО-Р-02</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Объем пропущенных стоков за 2021 год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248 680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4.10</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Среднесуточный объем поступающих на очистку стоков</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681</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Состав КОС (отстойники, аэротенки, иловые карты и т.д.)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Приемная камера, песколовки, Блок емкостей (аэротенки, отстойники, аэробный стабилизатор), блок резервуаров, здание фильтров, песковые площадки - 2 шт., иловые площадки - 6 шт.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существующей технологической схемы проектным данным</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качества сбрасываемых очищенных сточных вод существующим нормативам ПДК</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Соответ.</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4.14</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насосного оборудования КОС</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80-50-200/4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К-80-65-160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насосного оборудования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2007</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устройств плавного пуска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частотного регулирования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Необходимость реконструкции/модернизации</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8775"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мкр. Бачатский (ООО «ЭК»)</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Очистные сооружения мкр. Бачатский.</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Адрес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Бачатский, 2 км на Ю.З, от деревни Шанда.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5.4</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Процент износа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Проектная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Фактическая производительность КОС</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приборов учета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val="en-US" w:eastAsia="ru-RU"/>
              </w:rPr>
            </w:pPr>
            <w:r>
              <w:rPr>
                <w:rFonts w:eastAsia="Times New Roman" w:cs="Times New Roman"/>
                <w:color w:val="000000"/>
                <w:sz w:val="20"/>
                <w:szCs w:val="20"/>
                <w:lang w:val="en-US" w:eastAsia="ru-RU"/>
              </w:rPr>
              <w:t>Grenline AVFM 5.0 (QZ02L-UT-01-SD)</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5.9</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Объем пропущенных стоков за 2021 год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5.10</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Среднесуточный объем поступающих на очистку стоков</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/сут.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5.11</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Состав КОС (отстойники, аэротенки, иловые карты и т.д.)</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5.12</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существующей технологической схемы проектным данным</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5.13</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Соответствие качества сбрасываемых очищенных сточных вод существующим нормативам ПДК</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соотв./не соотв.</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Соотв.</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5.14</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Тип, марка насосного оборудования КОС</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первичные отстойники: СД100/50, (эл. двигатель:4АМ200L4У3, N-45 кВт, n-1470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иловая н/с: СД100/50, (эл. двигатель: 4АМ200L4У3, N-37 кВт, n-1470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СМ100/65/200/2А с ТСУ04 (эл. двигатель: А180М2У3, N-30 кВт, n-2940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СМ100/65/200/2А с ТСУ04 (эл. двигатель: А180М2У3, N-18,5 кВт, n-2930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НФС: 300Д70, (эл. двигатель: 4А280-295У3, N-75 кВт, n-980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300Д70, (эл. двигатель: 4АМН250М6У3, N-75 кВт, n-980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ФГ 216/24, (эл. двигатель: 4А200М4У3, N-37 кВт, n-1475 об/мин</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дренажная н/с: ГНОМ25/20,</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ГНОМ10/10,</w:t>
            </w:r>
          </w:p>
        </w:tc>
      </w:tr>
      <w:tr>
        <w:trPr>
          <w:trHeight w:val="20" w:hRule="atLeast"/>
        </w:trPr>
        <w:tc>
          <w:tcPr>
            <w:tcW w:w="57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5.15</w:t>
            </w:r>
          </w:p>
        </w:tc>
        <w:tc>
          <w:tcPr>
            <w:tcW w:w="324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 насосного оборудования</w:t>
            </w:r>
          </w:p>
        </w:tc>
        <w:tc>
          <w:tcPr>
            <w:tcW w:w="117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 1994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 1994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 1994</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 2000</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 1986</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 1986</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 1986</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 1970</w:t>
            </w:r>
          </w:p>
        </w:tc>
      </w:tr>
      <w:tr>
        <w:trPr>
          <w:trHeight w:val="20" w:hRule="atLeast"/>
        </w:trPr>
        <w:tc>
          <w:tcPr>
            <w:tcW w:w="57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324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1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 1970</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5.16</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устройств плавного пуска</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5.17</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Наличие частотного регулирования</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нет</w:t>
            </w:r>
          </w:p>
        </w:tc>
      </w:tr>
      <w:tr>
        <w:trPr>
          <w:trHeight w:val="20" w:hRule="atLeast"/>
        </w:trPr>
        <w:tc>
          <w:tcPr>
            <w:tcW w:w="5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5.18</w:t>
            </w:r>
          </w:p>
        </w:tc>
        <w:tc>
          <w:tcPr>
            <w:tcW w:w="3243" w:type="dxa"/>
            <w:tcBorders>
              <w:bottom w:val="single" w:sz="4" w:space="0" w:color="000000"/>
              <w:right w:val="single" w:sz="4" w:space="0" w:color="000000"/>
            </w:tcBorders>
            <w:shd w:color="auto" w:fill="auto"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color w:val="000000"/>
                <w:sz w:val="20"/>
                <w:szCs w:val="20"/>
                <w:lang w:eastAsia="ru-RU"/>
              </w:rPr>
              <w:t>Необходимость реконструкции/модернизации</w:t>
            </w:r>
          </w:p>
        </w:tc>
        <w:tc>
          <w:tcPr>
            <w:tcW w:w="11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да/нет</w:t>
            </w:r>
          </w:p>
        </w:tc>
        <w:tc>
          <w:tcPr>
            <w:tcW w:w="43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 </w:t>
            </w:r>
          </w:p>
        </w:tc>
      </w:tr>
    </w:tbl>
    <w:p>
      <w:pPr>
        <w:pStyle w:val="3"/>
        <w:rPr/>
      </w:pPr>
      <w:bookmarkStart w:id="145" w:name="_Toc158814611"/>
      <w:r>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45"/>
    </w:p>
    <w:p>
      <w:pPr>
        <w:pStyle w:val="Normal"/>
        <w:rPr/>
      </w:pPr>
      <w:r>
        <w:rPr/>
        <w:t xml:space="preserve">На территории Беловского городского округа существуют семь централизованных систем водоотведения хозяйственно-бытовых стоков, совпадающих с технологическими зонами. Зоны централизованного водоотведения на территории Беловского ГО представлены в таблице </w:t>
      </w:r>
      <w:r>
        <w:rPr/>
        <w:fldChar w:fldCharType="begin"/>
      </w:r>
      <w:r>
        <w:rPr/>
        <w:instrText xml:space="preserve"> REF _Ref156551017 \h </w:instrText>
      </w:r>
      <w:r>
        <w:rPr/>
        <w:fldChar w:fldCharType="separate"/>
      </w:r>
      <w:r>
        <w:rPr/>
        <w:t>Таблица 2.1.28</w:t>
      </w:r>
      <w:r>
        <w:rPr/>
        <w:fldChar w:fldCharType="end"/>
      </w:r>
      <w:r>
        <w:rPr/>
        <w:t>.</w:t>
      </w:r>
    </w:p>
    <w:p>
      <w:pPr>
        <w:pStyle w:val="Style34"/>
        <w:rPr/>
      </w:pPr>
      <w:bookmarkStart w:id="146" w:name="_Ref156551017"/>
      <w:r>
        <w:rPr/>
        <w:t xml:space="preserve">Таблица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Таблица \* ARABIC </w:instrText>
      </w:r>
      <w:r>
        <w:rPr/>
        <w:fldChar w:fldCharType="separate"/>
      </w:r>
      <w:r>
        <w:rPr/>
        <w:t>28</w:t>
      </w:r>
      <w:r>
        <w:rPr/>
        <w:fldChar w:fldCharType="end"/>
      </w:r>
      <w:bookmarkEnd w:id="146"/>
      <w:r>
        <w:rPr/>
        <w:t xml:space="preserve"> – Зоны централизованного водоотведения на территории Беловского ГО</w:t>
      </w:r>
    </w:p>
    <w:tbl>
      <w:tblPr>
        <w:tblW w:w="9345"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565"/>
        <w:gridCol w:w="3937"/>
        <w:gridCol w:w="4843"/>
      </w:tblGrid>
      <w:tr>
        <w:trPr>
          <w:tblHeader w:val="true"/>
          <w:trHeight w:val="20" w:hRule="atLeast"/>
        </w:trPr>
        <w:tc>
          <w:tcPr>
            <w:tcW w:w="565"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937"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Система водоотведения</w:t>
            </w:r>
          </w:p>
        </w:tc>
        <w:tc>
          <w:tcPr>
            <w:tcW w:w="4843"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Обслуживаемые районы и населенные пункты городского округа</w:t>
            </w:r>
          </w:p>
        </w:tc>
      </w:tr>
      <w:tr>
        <w:trPr>
          <w:tblHeader w:val="true"/>
          <w:trHeight w:val="20" w:hRule="atLeast"/>
        </w:trPr>
        <w:tc>
          <w:tcPr>
            <w:tcW w:w="565"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937"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4843"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1</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г. Белово (центральная часть)</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г. Белово (центральная часть)</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2</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мкр. Бабанаково</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г. Белово (мкр. Бабанаково)</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3</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пгт. Инской</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пгт. Инской;</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4</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пгт. Грамотеино</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пгт. Грамотеино</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5</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микрорайона «Ивушка»</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пгт. Грамотеино (микрорайон «Ивушка»)</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6</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 пгт. Новый Городок</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пгт. Новый Городок</w:t>
            </w:r>
          </w:p>
        </w:tc>
      </w:tr>
      <w:tr>
        <w:trPr>
          <w:trHeight w:val="20" w:hRule="atLeast"/>
        </w:trPr>
        <w:tc>
          <w:tcPr>
            <w:tcW w:w="565"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7</w:t>
            </w:r>
          </w:p>
        </w:tc>
        <w:tc>
          <w:tcPr>
            <w:tcW w:w="393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Очистные сооружения</w:t>
            </w:r>
          </w:p>
        </w:tc>
        <w:tc>
          <w:tcPr>
            <w:tcW w:w="48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пгт. Бачатский</w:t>
            </w:r>
          </w:p>
        </w:tc>
      </w:tr>
    </w:tbl>
    <w:p>
      <w:pPr>
        <w:pStyle w:val="Normal"/>
        <w:rPr/>
      </w:pPr>
      <w:r>
        <w:rPr/>
        <w:t>Информация по промышленным предприятиям, имеющим собственные очистные сооружения, не предоставлена.</w:t>
      </w:r>
    </w:p>
    <w:p>
      <w:pPr>
        <w:pStyle w:val="Normal"/>
        <w:rPr/>
      </w:pPr>
      <w:r>
        <w:rPr/>
        <w:t>Картосхема ТЗ ВО центральной части г. Белово приведена на рисунке </w:t>
      </w:r>
      <w:r>
        <w:rPr/>
        <w:fldChar w:fldCharType="begin"/>
      </w:r>
      <w:r>
        <w:rPr/>
        <w:instrText xml:space="preserve"> REF _Ref156382505 \h </w:instrText>
      </w:r>
      <w:r>
        <w:rPr/>
        <w:fldChar w:fldCharType="separate"/>
      </w:r>
      <w:r>
        <w:rPr/>
        <w:t>Рисунок 2.1.32</w:t>
      </w:r>
      <w:r>
        <w:rPr/>
        <w:fldChar w:fldCharType="end"/>
      </w:r>
      <w:r>
        <w:rPr/>
        <w:t>.</w:t>
      </w:r>
    </w:p>
    <w:p>
      <w:pPr>
        <w:pStyle w:val="Style26"/>
        <w:rPr/>
      </w:pPr>
      <w:r>
        <w:rPr/>
        <w:drawing>
          <wp:inline distT="0" distB="0" distL="0" distR="0">
            <wp:extent cx="5940425" cy="6045200"/>
            <wp:effectExtent l="0" t="0" r="0" b="0"/>
            <wp:docPr id="34"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5" descr=""/>
                    <pic:cNvPicPr>
                      <a:picLocks noChangeAspect="1" noChangeArrowheads="1"/>
                    </pic:cNvPicPr>
                  </pic:nvPicPr>
                  <pic:blipFill>
                    <a:blip r:embed="rId59"/>
                    <a:stretch>
                      <a:fillRect/>
                    </a:stretch>
                  </pic:blipFill>
                  <pic:spPr bwMode="auto">
                    <a:xfrm>
                      <a:off x="0" y="0"/>
                      <a:ext cx="5940425" cy="6045200"/>
                    </a:xfrm>
                    <a:prstGeom prst="rect">
                      <a:avLst/>
                    </a:prstGeom>
                  </pic:spPr>
                </pic:pic>
              </a:graphicData>
            </a:graphic>
          </wp:inline>
        </w:drawing>
      </w:r>
    </w:p>
    <w:p>
      <w:pPr>
        <w:pStyle w:val="Caption"/>
        <w:rPr/>
      </w:pPr>
      <w:bookmarkStart w:id="147" w:name="_Ref156382505"/>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32</w:t>
      </w:r>
      <w:r>
        <w:rPr/>
        <w:fldChar w:fldCharType="end"/>
      </w:r>
      <w:bookmarkEnd w:id="147"/>
      <w:r>
        <w:rPr/>
        <w:t xml:space="preserve"> – Картосхема ТЗ ВО центральной части г. Белово</w:t>
      </w:r>
    </w:p>
    <w:p>
      <w:pPr>
        <w:pStyle w:val="Normal"/>
        <w:rPr/>
      </w:pPr>
      <w:r>
        <w:rPr/>
        <w:t xml:space="preserve">Картосхема ТЗ ВО мкр. Бабанаково г. Белово приведена на рисунке </w:t>
      </w:r>
      <w:r>
        <w:rPr/>
        <w:fldChar w:fldCharType="begin"/>
      </w:r>
      <w:r>
        <w:rPr/>
        <w:instrText xml:space="preserve"> REF _Ref156382879 \h </w:instrText>
      </w:r>
      <w:r>
        <w:rPr/>
        <w:fldChar w:fldCharType="separate"/>
      </w:r>
      <w:r>
        <w:rPr/>
        <w:t>Рисунок 2.1.33</w:t>
      </w:r>
      <w:r>
        <w:rPr/>
        <w:fldChar w:fldCharType="end"/>
      </w:r>
      <w:r>
        <w:rPr/>
        <w:t>.</w:t>
      </w:r>
    </w:p>
    <w:p>
      <w:pPr>
        <w:pStyle w:val="Style26"/>
        <w:rPr/>
      </w:pPr>
      <w:r>
        <w:rPr/>
        <w:drawing>
          <wp:inline distT="0" distB="0" distL="0" distR="0">
            <wp:extent cx="5940425" cy="3568700"/>
            <wp:effectExtent l="0" t="0" r="0" b="0"/>
            <wp:docPr id="35"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16" descr=""/>
                    <pic:cNvPicPr>
                      <a:picLocks noChangeAspect="1" noChangeArrowheads="1"/>
                    </pic:cNvPicPr>
                  </pic:nvPicPr>
                  <pic:blipFill>
                    <a:blip r:embed="rId60"/>
                    <a:stretch>
                      <a:fillRect/>
                    </a:stretch>
                  </pic:blipFill>
                  <pic:spPr bwMode="auto">
                    <a:xfrm>
                      <a:off x="0" y="0"/>
                      <a:ext cx="5940425" cy="3568700"/>
                    </a:xfrm>
                    <a:prstGeom prst="rect">
                      <a:avLst/>
                    </a:prstGeom>
                  </pic:spPr>
                </pic:pic>
              </a:graphicData>
            </a:graphic>
          </wp:inline>
        </w:drawing>
      </w:r>
    </w:p>
    <w:p>
      <w:pPr>
        <w:pStyle w:val="Caption"/>
        <w:rPr/>
      </w:pPr>
      <w:bookmarkStart w:id="148" w:name="_Ref156382879"/>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33</w:t>
      </w:r>
      <w:r>
        <w:rPr/>
        <w:fldChar w:fldCharType="end"/>
      </w:r>
      <w:bookmarkEnd w:id="148"/>
      <w:r>
        <w:rPr/>
        <w:t xml:space="preserve"> – Картосхема ТЗ ВО мкр. Бабанаково г. Белово</w:t>
      </w:r>
    </w:p>
    <w:p>
      <w:pPr>
        <w:pStyle w:val="Normal"/>
        <w:rPr/>
      </w:pPr>
      <w:r>
        <w:rPr/>
        <w:t xml:space="preserve">Картосхема ТЗ ВО пгт. Инской приведена на рисунке </w:t>
      </w:r>
      <w:r>
        <w:rPr/>
        <w:fldChar w:fldCharType="begin"/>
      </w:r>
      <w:r>
        <w:rPr/>
        <w:instrText xml:space="preserve"> REF _Ref156383357 \h </w:instrText>
      </w:r>
      <w:r>
        <w:rPr/>
        <w:fldChar w:fldCharType="separate"/>
      </w:r>
      <w:r>
        <w:rPr/>
        <w:t>Рисунок 2.1.34</w:t>
      </w:r>
      <w:r>
        <w:rPr/>
        <w:fldChar w:fldCharType="end"/>
      </w:r>
      <w:r>
        <w:rPr/>
        <w:t>.</w:t>
      </w:r>
    </w:p>
    <w:p>
      <w:pPr>
        <w:pStyle w:val="Style26"/>
        <w:rPr/>
      </w:pPr>
      <w:r>
        <w:rPr/>
        <w:drawing>
          <wp:inline distT="0" distB="0" distL="0" distR="0">
            <wp:extent cx="5887085" cy="8540750"/>
            <wp:effectExtent l="0" t="0" r="0" b="0"/>
            <wp:docPr id="36"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
                    <pic:cNvPicPr>
                      <a:picLocks noChangeAspect="1" noChangeArrowheads="1"/>
                    </pic:cNvPicPr>
                  </pic:nvPicPr>
                  <pic:blipFill>
                    <a:blip r:embed="rId61"/>
                    <a:stretch>
                      <a:fillRect/>
                    </a:stretch>
                  </pic:blipFill>
                  <pic:spPr bwMode="auto">
                    <a:xfrm>
                      <a:off x="0" y="0"/>
                      <a:ext cx="5887085" cy="8540750"/>
                    </a:xfrm>
                    <a:prstGeom prst="rect">
                      <a:avLst/>
                    </a:prstGeom>
                  </pic:spPr>
                </pic:pic>
              </a:graphicData>
            </a:graphic>
          </wp:inline>
        </w:drawing>
      </w:r>
    </w:p>
    <w:p>
      <w:pPr>
        <w:pStyle w:val="Caption"/>
        <w:rPr/>
      </w:pPr>
      <w:bookmarkStart w:id="149" w:name="_Ref156383357"/>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34</w:t>
      </w:r>
      <w:r>
        <w:rPr/>
        <w:fldChar w:fldCharType="end"/>
      </w:r>
      <w:bookmarkEnd w:id="149"/>
      <w:r>
        <w:rPr/>
        <w:t xml:space="preserve"> – Картосхема ТЗ ВО пгт. Инской</w:t>
      </w:r>
    </w:p>
    <w:p>
      <w:pPr>
        <w:pStyle w:val="Normal"/>
        <w:rPr/>
      </w:pPr>
      <w:r>
        <w:rPr/>
        <w:t>Картосхема ТЗ ВО пгт. Грамотеино приведена на рисунке </w:t>
      </w:r>
      <w:r>
        <w:rPr/>
        <w:fldChar w:fldCharType="begin"/>
      </w:r>
      <w:r>
        <w:rPr/>
        <w:instrText xml:space="preserve"> REF _Ref156384600 \h </w:instrText>
      </w:r>
      <w:r>
        <w:rPr/>
        <w:fldChar w:fldCharType="separate"/>
      </w:r>
      <w:r>
        <w:rPr/>
        <w:t>Рисунок 2.1.35</w:t>
      </w:r>
      <w:r>
        <w:rPr/>
        <w:fldChar w:fldCharType="end"/>
      </w:r>
      <w:r>
        <w:rPr/>
        <w:t>.</w:t>
      </w:r>
    </w:p>
    <w:p>
      <w:pPr>
        <w:pStyle w:val="Style26"/>
        <w:rPr/>
      </w:pPr>
      <w:r>
        <w:rPr/>
        <w:drawing>
          <wp:inline distT="0" distB="0" distL="0" distR="0">
            <wp:extent cx="5940425" cy="8566150"/>
            <wp:effectExtent l="0" t="0" r="0" b="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
                    <pic:cNvPicPr>
                      <a:picLocks noChangeAspect="1" noChangeArrowheads="1"/>
                    </pic:cNvPicPr>
                  </pic:nvPicPr>
                  <pic:blipFill>
                    <a:blip r:embed="rId62"/>
                    <a:stretch>
                      <a:fillRect/>
                    </a:stretch>
                  </pic:blipFill>
                  <pic:spPr bwMode="auto">
                    <a:xfrm>
                      <a:off x="0" y="0"/>
                      <a:ext cx="5940425" cy="8566150"/>
                    </a:xfrm>
                    <a:prstGeom prst="rect">
                      <a:avLst/>
                    </a:prstGeom>
                  </pic:spPr>
                </pic:pic>
              </a:graphicData>
            </a:graphic>
          </wp:inline>
        </w:drawing>
      </w:r>
    </w:p>
    <w:p>
      <w:pPr>
        <w:pStyle w:val="Caption"/>
        <w:rPr/>
      </w:pPr>
      <w:bookmarkStart w:id="150" w:name="_Ref156384600"/>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35</w:t>
      </w:r>
      <w:r>
        <w:rPr/>
        <w:fldChar w:fldCharType="end"/>
      </w:r>
      <w:bookmarkEnd w:id="150"/>
      <w:r>
        <w:rPr/>
        <w:t xml:space="preserve"> – Картосхема ТЗ ВО пгт. Грамотеино</w:t>
      </w:r>
    </w:p>
    <w:p>
      <w:pPr>
        <w:pStyle w:val="Normal"/>
        <w:rPr/>
      </w:pPr>
      <w:r>
        <w:rPr/>
        <w:t>Картосхема ТЗ ВО пгт. Новый Городок приведена на рисунке </w:t>
      </w:r>
      <w:r>
        <w:rPr/>
        <w:fldChar w:fldCharType="begin"/>
      </w:r>
      <w:r>
        <w:rPr/>
        <w:instrText xml:space="preserve"> REF _Ref156384794 \h </w:instrText>
      </w:r>
      <w:r>
        <w:rPr/>
        <w:fldChar w:fldCharType="separate"/>
      </w:r>
      <w:r>
        <w:rPr/>
        <w:t>Рисунок 2.1.36</w:t>
      </w:r>
      <w:r>
        <w:rPr/>
        <w:fldChar w:fldCharType="end"/>
      </w:r>
      <w:r>
        <w:rPr/>
        <w:t>.</w:t>
      </w:r>
    </w:p>
    <w:p>
      <w:pPr>
        <w:pStyle w:val="Style26"/>
        <w:rPr/>
      </w:pPr>
      <w:r>
        <w:rPr/>
        <w:drawing>
          <wp:inline distT="0" distB="0" distL="0" distR="0">
            <wp:extent cx="5940425" cy="7557770"/>
            <wp:effectExtent l="0" t="0" r="0" b="0"/>
            <wp:docPr id="3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
                    <pic:cNvPicPr>
                      <a:picLocks noChangeAspect="1" noChangeArrowheads="1"/>
                    </pic:cNvPicPr>
                  </pic:nvPicPr>
                  <pic:blipFill>
                    <a:blip r:embed="rId63"/>
                    <a:stretch>
                      <a:fillRect/>
                    </a:stretch>
                  </pic:blipFill>
                  <pic:spPr bwMode="auto">
                    <a:xfrm>
                      <a:off x="0" y="0"/>
                      <a:ext cx="5940425" cy="7557770"/>
                    </a:xfrm>
                    <a:prstGeom prst="rect">
                      <a:avLst/>
                    </a:prstGeom>
                  </pic:spPr>
                </pic:pic>
              </a:graphicData>
            </a:graphic>
          </wp:inline>
        </w:drawing>
      </w:r>
    </w:p>
    <w:p>
      <w:pPr>
        <w:pStyle w:val="Caption"/>
        <w:rPr/>
      </w:pPr>
      <w:bookmarkStart w:id="151" w:name="_Ref156384794"/>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36</w:t>
      </w:r>
      <w:r>
        <w:rPr/>
        <w:fldChar w:fldCharType="end"/>
      </w:r>
      <w:bookmarkEnd w:id="151"/>
      <w:r>
        <w:rPr/>
        <w:t xml:space="preserve"> – Картосхема ТЗ ВО пгт. Новый Городок</w:t>
      </w:r>
    </w:p>
    <w:p>
      <w:pPr>
        <w:pStyle w:val="Normal"/>
        <w:rPr/>
      </w:pPr>
      <w:r>
        <w:rPr/>
        <w:t>Картосхема ТЗ ВО пгт. Бачатский приведена на рисунке </w:t>
      </w:r>
      <w:r>
        <w:rPr/>
        <w:fldChar w:fldCharType="begin"/>
      </w:r>
      <w:r>
        <w:rPr/>
        <w:instrText xml:space="preserve"> REF _Ref156384923 \h </w:instrText>
      </w:r>
      <w:r>
        <w:rPr/>
        <w:fldChar w:fldCharType="separate"/>
      </w:r>
      <w:r>
        <w:rPr/>
        <w:t>Рисунок 2.1.37</w:t>
      </w:r>
      <w:r>
        <w:rPr/>
        <w:fldChar w:fldCharType="end"/>
      </w:r>
      <w:r>
        <w:rPr/>
        <w:t>.</w:t>
      </w:r>
    </w:p>
    <w:p>
      <w:pPr>
        <w:pStyle w:val="Style26"/>
        <w:rPr/>
      </w:pPr>
      <w:r>
        <w:rPr/>
        <w:drawing>
          <wp:inline distT="0" distB="0" distL="0" distR="0">
            <wp:extent cx="5940425" cy="6089650"/>
            <wp:effectExtent l="0" t="0" r="0" b="0"/>
            <wp:docPr id="39"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
                    <pic:cNvPicPr>
                      <a:picLocks noChangeAspect="1" noChangeArrowheads="1"/>
                    </pic:cNvPicPr>
                  </pic:nvPicPr>
                  <pic:blipFill>
                    <a:blip r:embed="rId64"/>
                    <a:stretch>
                      <a:fillRect/>
                    </a:stretch>
                  </pic:blipFill>
                  <pic:spPr bwMode="auto">
                    <a:xfrm>
                      <a:off x="0" y="0"/>
                      <a:ext cx="5940425" cy="6089650"/>
                    </a:xfrm>
                    <a:prstGeom prst="rect">
                      <a:avLst/>
                    </a:prstGeom>
                  </pic:spPr>
                </pic:pic>
              </a:graphicData>
            </a:graphic>
          </wp:inline>
        </w:drawing>
      </w:r>
    </w:p>
    <w:p>
      <w:pPr>
        <w:pStyle w:val="Caption"/>
        <w:rPr/>
      </w:pPr>
      <w:bookmarkStart w:id="152" w:name="_Ref156384923"/>
      <w:r>
        <w:rPr/>
        <w:t xml:space="preserve">Рисунок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Рисунок \* ARABIC </w:instrText>
      </w:r>
      <w:r>
        <w:rPr/>
        <w:fldChar w:fldCharType="separate"/>
      </w:r>
      <w:r>
        <w:rPr/>
        <w:t>37</w:t>
      </w:r>
      <w:r>
        <w:rPr/>
        <w:fldChar w:fldCharType="end"/>
      </w:r>
      <w:bookmarkEnd w:id="152"/>
      <w:r>
        <w:rPr/>
        <w:t xml:space="preserve"> – Картосхема ТЗ ВО пгт. Бачатский</w:t>
      </w:r>
    </w:p>
    <w:p>
      <w:pPr>
        <w:pStyle w:val="3"/>
        <w:rPr/>
      </w:pPr>
      <w:bookmarkStart w:id="153" w:name="_Toc158814612"/>
      <w:r>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53"/>
    </w:p>
    <w:p>
      <w:pPr>
        <w:pStyle w:val="Normal"/>
        <w:rPr/>
      </w:pPr>
      <w:r>
        <w:rPr/>
        <w:t>В процессе очистки сточных вод образуются осадки, различные по химическому составу и физическим свойствам. При совместной очистке бытовых и производственных сточных вод количество образующихся осадков обычно не превышает 0,5–1% объема очищаемой воды при влажности 95–96%. Конечная цель обработки осадков сточных вод состоит в превращении их путем проведения ряда последовательных технологических операций в безвредный продукт, не вызывающий загрязнения окружающей среды.</w:t>
      </w:r>
    </w:p>
    <w:p>
      <w:pPr>
        <w:pStyle w:val="Normal"/>
        <w:rPr/>
      </w:pPr>
      <w:r>
        <w:rPr/>
        <w:t xml:space="preserve">Осадки сточных вод содержат макро- и микроэлементы, необходимые для питания растений и повышения плодородия почв, что обусловливает их использование в качестве органоминерального азотно-фосфорного удобрения. </w:t>
      </w:r>
    </w:p>
    <w:p>
      <w:pPr>
        <w:pStyle w:val="Normal"/>
        <w:rPr/>
      </w:pPr>
      <w:r>
        <w:rPr/>
        <w:t>Максимальную разовую норму внесения осадков на сельскохозяйственные поля определяют расчетным путем исходя из возможного поступления в почву вредных примесей. Принцип расчета заключается в том, что после внесения осадков сточных вод суммарное содержание металла в почве (с учетом сжигания в пахотном слое) недолжно превышать ПДК, на осадок, используемый в качестве удобрения, составляют паспорт, в котором указывают влажность, содержание органических веществ, азота, фосфора, калия, кальция, а также вредных тяжелых металлов. Осадки всех видов предпочтительнее использовать под зерновые, кормовые и технические культуры, так как они менее чувствительны к токсичным солям тяжелых металлов и в большинстве случаев не идут непосредственно в пищу человека. Благодаря содержанию большого количества органических веществ (40–70% массы сухого вещества) осадки можно использовать в качестве рекультивации почв, у которых потерян верхний плодородный слой. Это особенно важно для сохранения плодородия в условиях широкого применения минеральных удобрений (ухудшающих структуру почв) и возвращения сельскохозяйственных земель после промышленного использования.</w:t>
      </w:r>
    </w:p>
    <w:p>
      <w:pPr>
        <w:pStyle w:val="Normal"/>
        <w:rPr/>
      </w:pPr>
      <w:r>
        <w:rPr/>
        <w:t>Соответственно необходимо составить паспорта на твердые осадки, образующиеся на полях фильтрации и, в дальнейшем, использовать осадки для рекультивации почв.</w:t>
      </w:r>
    </w:p>
    <w:p>
      <w:pPr>
        <w:pStyle w:val="3"/>
        <w:rPr/>
      </w:pPr>
      <w:bookmarkStart w:id="154" w:name="_Toc158814613"/>
      <w:r>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54"/>
    </w:p>
    <w:p>
      <w:pPr>
        <w:pStyle w:val="Normal"/>
        <w:rPr/>
      </w:pPr>
      <w:r>
        <w:rPr/>
        <w:t>Отвод хозяйственно-бытовых стоков от абонентов и транспортировка их на очистные сооружения осуществляется через систему самотечных и напорных трубопроводов с установкой канализационных станций перекачки сточных вод.</w:t>
      </w:r>
    </w:p>
    <w:p>
      <w:pPr>
        <w:pStyle w:val="Normal"/>
        <w:rPr/>
      </w:pPr>
      <w:r>
        <w:rPr/>
        <w:t>В соответствии с данными, размещенными на портале публикаций сведений, подлежащих свободному доступу Федеральной антимонопольной службы (</w:t>
      </w:r>
      <w:hyperlink r:id="rId65">
        <w:r>
          <w:rPr>
            <w:rStyle w:val="-"/>
          </w:rPr>
          <w:t>https://ri.eias.ru/</w:t>
        </w:r>
      </w:hyperlink>
      <w:r>
        <w:rPr/>
        <w:t>), общая протяженность канализационных сетей в Беловском ГО составляет 210,76 км. Протяженность сетей водоотведения в эксплуатационной зоне ООО «БелГОС» по состоянию на 13.09.2018 год составляет 126,00 км. ООО «БелГОС» обслуживает сети водоотведения на правах аренды и по концессионному соглашению. Диаметры трубопроводов сетей водоотведения составляют от 100 мм (на выпусках) до 1200 мм (главный канализационный коллектор г. Белово).</w:t>
      </w:r>
    </w:p>
    <w:p>
      <w:pPr>
        <w:pStyle w:val="Normal"/>
        <w:rPr/>
      </w:pPr>
      <w:r>
        <w:rPr/>
        <w:t>По состоянию на 14.04.2020 год ООО «Водоснабжение» обслуживает 41,49 км канализационных сетей. Обслуживание канализационных сетей ООО «Водоснабжение» осуществляет на правах аренды.</w:t>
      </w:r>
    </w:p>
    <w:p>
      <w:pPr>
        <w:pStyle w:val="Normal"/>
        <w:rPr/>
      </w:pPr>
      <w:r>
        <w:rPr/>
        <w:t>По состоянию на 26.12.2023 год в эксплуатационном ведении ООО «ЭК» находится 39,00 км канализационных сетей. Обслуживание канализационных сетей ООО «ЭК» осуществляет на правах аренды.</w:t>
      </w:r>
    </w:p>
    <w:p>
      <w:pPr>
        <w:pStyle w:val="Normal"/>
        <w:rPr/>
      </w:pPr>
      <w:r>
        <w:rPr/>
        <w:t>По состоянию на 20.12.2022 год в эксплуатационном ведении ООО «Белсток» находится 4,27 км канализационных сетей. Обслуживание канализационных сетей ООО «Белсток» осуществляет на правах аренды.</w:t>
      </w:r>
    </w:p>
    <w:p>
      <w:pPr>
        <w:pStyle w:val="Normal"/>
        <w:rPr/>
      </w:pPr>
      <w:r>
        <w:rPr/>
        <w:t>Более 50% канализационных сетей выработали нормативный срок эксплуатации.</w:t>
      </w:r>
    </w:p>
    <w:p>
      <w:pPr>
        <w:pStyle w:val="Normal"/>
        <w:rPr/>
      </w:pPr>
      <w:r>
        <w:rPr/>
        <w:t>Сети и сооружения городской канализации имеют неудовлетворительное техническое состояние: насосное оборудование главной канализационной насосной станции г. Белово устарело и требует замены, необходима реконструкция КНС ул. Железнодорожная, ул. Юбилейная с заменой напорных канализационных коллекторов, а также напорного коллектора от КНС ул. Советская.</w:t>
      </w:r>
    </w:p>
    <w:p>
      <w:pPr>
        <w:pStyle w:val="Normal"/>
        <w:rPr/>
      </w:pPr>
      <w:r>
        <w:rPr/>
        <w:t>Канализационные коллектора пгт Грамотеино по ул. Колмогоровская диаметром 200-250 мм и ул. Светлая диаметром 150-250 мм (год прокладки 1960) находятся в неудовлетворительном состоянии, в виду сильного износа и требуют замены.</w:t>
      </w:r>
    </w:p>
    <w:p>
      <w:pPr>
        <w:pStyle w:val="Normal"/>
        <w:rPr/>
      </w:pPr>
      <w:r>
        <w:rPr/>
        <w:t>Канализационные насосные станции по ул. Тобольская пгт. Инской выработали нормативный срок эксплуатации, необходима реконструкция КНС либо строительство новых насосных станций.</w:t>
      </w:r>
    </w:p>
    <w:p>
      <w:pPr>
        <w:sectPr>
          <w:footerReference w:type="default" r:id="rId66"/>
          <w:footerReference w:type="first" r:id="rId67"/>
          <w:type w:val="nextPage"/>
          <w:pgSz w:w="11906" w:h="16838"/>
          <w:pgMar w:left="1701" w:right="850" w:gutter="0" w:header="0" w:top="1134" w:footer="708" w:bottom="1134"/>
          <w:pgNumType w:fmt="decimal"/>
          <w:formProt w:val="false"/>
          <w:textDirection w:val="lrTb"/>
          <w:docGrid w:type="default" w:linePitch="360" w:charSpace="0"/>
        </w:sectPr>
        <w:pStyle w:val="Normal"/>
        <w:rPr>
          <w:rFonts w:eastAsia="Times New Roman" w:cs="Times New Roman"/>
          <w:color w:val="000000"/>
          <w:sz w:val="20"/>
          <w:szCs w:val="20"/>
          <w:lang w:eastAsia="ru-RU"/>
        </w:rPr>
      </w:pPr>
      <w:r>
        <w:rPr/>
        <w:t xml:space="preserve">Данные по эксплуатирующимся КНС Беловского ГО приведены в таблице </w:t>
      </w:r>
      <w:r>
        <w:rPr>
          <w:rFonts w:eastAsia="Times New Roman" w:cs="Times New Roman"/>
          <w:color w:val="000000"/>
          <w:sz w:val="20"/>
          <w:szCs w:val="20"/>
          <w:lang w:eastAsia="ru-RU"/>
        </w:rPr>
        <w:fldChar w:fldCharType="begin"/>
      </w:r>
      <w:r>
        <w:rPr>
          <w:sz w:val="20"/>
          <w:szCs w:val="20"/>
          <w:rFonts w:eastAsia="Times New Roman" w:cs="Times New Roman"/>
          <w:color w:val="000000"/>
          <w:lang w:eastAsia="ru-RU"/>
        </w:rPr>
        <w:instrText xml:space="preserve"> REF _Ref156379075 \h </w:instrText>
      </w:r>
      <w:r>
        <w:rPr>
          <w:sz w:val="20"/>
          <w:szCs w:val="20"/>
          <w:rFonts w:eastAsia="Times New Roman" w:cs="Times New Roman"/>
          <w:color w:val="000000"/>
          <w:lang w:eastAsia="ru-RU"/>
        </w:rPr>
        <w:fldChar w:fldCharType="separate"/>
      </w:r>
      <w:r>
        <w:rPr>
          <w:sz w:val="20"/>
          <w:szCs w:val="20"/>
          <w:rFonts w:eastAsia="Times New Roman" w:cs="Times New Roman"/>
          <w:color w:val="000000"/>
          <w:lang w:eastAsia="ru-RU"/>
        </w:rPr>
        <w:t>Таблица 2.1.29</w:t>
      </w:r>
      <w:r>
        <w:rPr>
          <w:sz w:val="20"/>
          <w:szCs w:val="20"/>
          <w:rFonts w:eastAsia="Times New Roman" w:cs="Times New Roman"/>
          <w:color w:val="000000"/>
          <w:lang w:eastAsia="ru-RU"/>
        </w:rPr>
        <w:fldChar w:fldCharType="end"/>
      </w:r>
      <w:r>
        <w:rPr>
          <w:rFonts w:eastAsia="Times New Roman" w:cs="Times New Roman"/>
          <w:color w:val="000000"/>
          <w:sz w:val="20"/>
          <w:szCs w:val="20"/>
          <w:lang w:eastAsia="ru-RU"/>
        </w:rPr>
        <w:t>.</w:t>
      </w:r>
    </w:p>
    <w:p>
      <w:pPr>
        <w:pStyle w:val="Style34"/>
        <w:rPr/>
      </w:pPr>
      <w:bookmarkStart w:id="155" w:name="_Ref156379075"/>
      <w:r>
        <w:rPr/>
        <w:t xml:space="preserve">Таблица </w:t>
      </w:r>
      <w:r>
        <w:fldChar w:fldCharType="begin"/>
      </w:r>
      <w:r>
        <w:rPr/>
        <w:instrText xml:space="preserve">STYLEREF 2 \s</w:instrText>
      </w:r>
      <w:r>
        <w:rPr/>
      </w:r>
      <w:r>
        <w:rPr/>
        <w:fldChar w:fldCharType="separate"/>
      </w:r>
      <w:r>
        <w:rPr/>
        <w:t>2.1</w:t>
      </w:r>
      <w:r>
        <w:rPr/>
      </w:r>
      <w:r>
        <w:rPr/>
        <w:fldChar w:fldCharType="end"/>
      </w:r>
      <w:r>
        <w:rPr/>
        <w:t>.</w:t>
      </w:r>
      <w:r>
        <w:rPr/>
        <w:fldChar w:fldCharType="begin"/>
      </w:r>
      <w:r>
        <w:rPr/>
        <w:instrText xml:space="preserve"> SEQ Таблица \* ARABIC </w:instrText>
      </w:r>
      <w:r>
        <w:rPr/>
        <w:fldChar w:fldCharType="separate"/>
      </w:r>
      <w:r>
        <w:rPr/>
        <w:t>29</w:t>
      </w:r>
      <w:r>
        <w:rPr/>
        <w:fldChar w:fldCharType="end"/>
      </w:r>
      <w:bookmarkEnd w:id="155"/>
      <w:r>
        <w:rPr/>
        <w:t xml:space="preserve"> – Данные по эксплуатирующимся КНС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704"/>
        <w:gridCol w:w="1558"/>
        <w:gridCol w:w="708"/>
        <w:gridCol w:w="1419"/>
        <w:gridCol w:w="1982"/>
        <w:gridCol w:w="1943"/>
        <w:gridCol w:w="776"/>
        <w:gridCol w:w="1075"/>
        <w:gridCol w:w="991"/>
        <w:gridCol w:w="712"/>
        <w:gridCol w:w="1067"/>
        <w:gridCol w:w="1634"/>
      </w:tblGrid>
      <w:tr>
        <w:trPr>
          <w:tblHeader w:val="true"/>
          <w:trHeight w:val="20" w:hRule="atLeast"/>
        </w:trPr>
        <w:tc>
          <w:tcPr>
            <w:tcW w:w="7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155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КНС</w:t>
            </w:r>
          </w:p>
        </w:tc>
        <w:tc>
          <w:tcPr>
            <w:tcW w:w="708"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Год ввода в эксплуатацию</w:t>
            </w:r>
          </w:p>
        </w:tc>
        <w:tc>
          <w:tcPr>
            <w:tcW w:w="1419"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Производительность КНС,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/ч</w:t>
            </w:r>
          </w:p>
        </w:tc>
        <w:tc>
          <w:tcPr>
            <w:tcW w:w="1982"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Марка насоса</w:t>
            </w:r>
          </w:p>
        </w:tc>
        <w:tc>
          <w:tcPr>
            <w:tcW w:w="1943"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Производительность, м</w:t>
            </w:r>
            <w:r>
              <w:rPr>
                <w:rFonts w:eastAsia="Times New Roman" w:cs="Times New Roman"/>
                <w:color w:val="000000"/>
                <w:sz w:val="20"/>
                <w:szCs w:val="20"/>
                <w:vertAlign w:val="superscript"/>
                <w:lang w:eastAsia="ru-RU"/>
              </w:rPr>
              <w:t>3</w:t>
            </w:r>
            <w:r>
              <w:rPr>
                <w:rFonts w:eastAsia="Times New Roman" w:cs="Times New Roman"/>
                <w:color w:val="000000"/>
                <w:sz w:val="20"/>
                <w:szCs w:val="20"/>
                <w:lang w:eastAsia="ru-RU"/>
              </w:rPr>
              <w:t>/ч</w:t>
            </w:r>
          </w:p>
        </w:tc>
        <w:tc>
          <w:tcPr>
            <w:tcW w:w="776"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Напор, м</w:t>
            </w:r>
          </w:p>
        </w:tc>
        <w:tc>
          <w:tcPr>
            <w:tcW w:w="1075"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Мощность двигателя, кВт</w:t>
            </w:r>
          </w:p>
        </w:tc>
        <w:tc>
          <w:tcPr>
            <w:tcW w:w="991"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Обороты, мин</w:t>
            </w:r>
            <w:r>
              <w:rPr>
                <w:rFonts w:eastAsia="Times New Roman" w:cs="Times New Roman"/>
                <w:color w:val="000000"/>
                <w:sz w:val="20"/>
                <w:szCs w:val="20"/>
                <w:vertAlign w:val="superscript"/>
                <w:lang w:eastAsia="ru-RU"/>
              </w:rPr>
              <w:t>-1</w:t>
            </w:r>
          </w:p>
        </w:tc>
        <w:tc>
          <w:tcPr>
            <w:tcW w:w="712"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инв. номер</w:t>
            </w:r>
          </w:p>
        </w:tc>
        <w:tc>
          <w:tcPr>
            <w:tcW w:w="1067"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Дата установки насоса</w:t>
            </w:r>
          </w:p>
        </w:tc>
        <w:tc>
          <w:tcPr>
            <w:tcW w:w="163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Принадлежность</w:t>
            </w:r>
          </w:p>
        </w:tc>
      </w:tr>
      <w:tr>
        <w:trPr>
          <w:tblHeader w:val="true"/>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5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7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41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r>
      <w:tr>
        <w:trPr>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3865" w:type="dxa"/>
            <w:gridSpan w:val="11"/>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г. Белово</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ГНС Кемеровская обл., г. Белово, ул. Кузбасская,6</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1979</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1250</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СД 450/22,5</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450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4142</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01.12.1991</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5973</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27.05.2015</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250-200-400/6</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530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980</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4272</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01.08.1997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250-200-400/6</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530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980</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4271</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01.08.1997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200-150-400/6-4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6010</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12.2020.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БелГОС</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 2 Кемеровская обл., г. Белово, ул. Юбилейная, в районе вокзала</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1963</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180</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44012</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01.12.2018</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150-125-315Б-4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4723</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03.02.2005</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БелГОС</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 1 Кемеровская обл., г. Белово, ул. Железнодорожная, в районе элеватора</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1963</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5988</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15.05.2018</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5994</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01.03.2019</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БелГОС</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Кемеровская обл., г. Белово, ул. Советская в районе Горсада</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1993</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200-150-400/4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4239</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01.12.1992</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200-150-400/4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4238</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01.12.1992</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200-150-400/4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50</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4240</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01.12.1992</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(район Машзавода) ул. 2-ая Рабочая</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1987</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37</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5927</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25.05.2010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150-125-315/4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200</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37</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5891</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01.01.2008</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БелГОС</w:t>
            </w:r>
          </w:p>
        </w:tc>
      </w:tr>
      <w:tr>
        <w:trPr>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3865" w:type="dxa"/>
            <w:gridSpan w:val="11"/>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Инской</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ГНС (м-н Техно</w:t>
              <w:softHyphen/>
              <w:t>логический, 1)</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2001</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200-150-500/4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5008</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01.11.2002</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СМ150-125-315-4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200-150-500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4274</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29.04.2010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200-150-500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4316</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2020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200-150-500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2020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ул. Тобольская</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1963</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100-65/250/4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62,5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7,5</w:t>
            </w:r>
          </w:p>
        </w:tc>
        <w:tc>
          <w:tcPr>
            <w:tcW w:w="99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1500</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4691</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w:t>
            </w:r>
            <w:r>
              <w:rPr>
                <w:rFonts w:eastAsia="Times New Roman" w:cs="Times New Roman"/>
                <w:sz w:val="20"/>
                <w:szCs w:val="20"/>
                <w:lang w:eastAsia="ru-RU"/>
              </w:rPr>
              <w:t>2010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100-65/250/3</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w:t>
            </w:r>
            <w:r>
              <w:rPr>
                <w:rFonts w:eastAsia="Times New Roman" w:cs="Times New Roman"/>
                <w:sz w:val="20"/>
                <w:szCs w:val="20"/>
                <w:lang w:eastAsia="ru-RU"/>
              </w:rPr>
              <w:t>2010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СМ 100-65/250/4</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62,5</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1500</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6006</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05.2020.</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БелГОС</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100-65/250/5</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w:t>
            </w:r>
            <w:r>
              <w:rPr>
                <w:rFonts w:eastAsia="Times New Roman" w:cs="Times New Roman"/>
                <w:sz w:val="20"/>
                <w:szCs w:val="20"/>
                <w:lang w:eastAsia="ru-RU"/>
              </w:rPr>
              <w:t>2019</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3865" w:type="dxa"/>
            <w:gridSpan w:val="11"/>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Грамотеино</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3.1</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ул. Светлая</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1961</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208</w:t>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Flygt 3171.350МT</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321</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10.11.2017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Flygt 3171.350МT</w:t>
            </w:r>
          </w:p>
        </w:tc>
        <w:tc>
          <w:tcPr>
            <w:tcW w:w="19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321</w:t>
            </w:r>
          </w:p>
        </w:tc>
        <w:tc>
          <w:tcPr>
            <w:tcW w:w="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01.10.2019</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по инвестпрограмме</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 1 (мкр. Ивушка)</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1996</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Wilo STC 80F 33.65</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21086</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31.05.2007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Wilo STC 80F 33.65</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21088</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31.05.2007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3.3</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 2 (мкр. Ивушка)</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1994</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50</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Wilo STC 80F 38.100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21084</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31.05.2007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Wilo STC 80F 38.100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38</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21083</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31.05.2007</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концессия</w:t>
            </w:r>
          </w:p>
        </w:tc>
      </w:tr>
      <w:tr>
        <w:trPr>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3865" w:type="dxa"/>
            <w:gridSpan w:val="11"/>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мкр. Бабанаково</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4.1</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150-125-315/4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150-125-315/4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3865" w:type="dxa"/>
            <w:gridSpan w:val="11"/>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пгт. Бачатский</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5.1</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мкр. Греческий</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2000</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100/65/200</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65</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5,5</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5.2</w:t>
            </w:r>
          </w:p>
        </w:tc>
        <w:tc>
          <w:tcPr>
            <w:tcW w:w="15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КНС пгт. Бачатский</w:t>
            </w:r>
          </w:p>
        </w:tc>
        <w:tc>
          <w:tcPr>
            <w:tcW w:w="7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1973</w:t>
            </w:r>
          </w:p>
        </w:tc>
        <w:tc>
          <w:tcPr>
            <w:tcW w:w="141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СМ 150-125-315/4</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32</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СД 250/22,5/3</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250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22,5</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37</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r>
        <w:trPr>
          <w:trHeight w:val="20" w:hRule="atLeast"/>
        </w:trPr>
        <w:tc>
          <w:tcPr>
            <w:tcW w:w="70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5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7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41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982"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СД 160/45</w:t>
            </w:r>
          </w:p>
        </w:tc>
        <w:tc>
          <w:tcPr>
            <w:tcW w:w="194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160</w:t>
            </w:r>
          </w:p>
        </w:tc>
        <w:tc>
          <w:tcPr>
            <w:tcW w:w="7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45</w:t>
            </w:r>
          </w:p>
        </w:tc>
        <w:tc>
          <w:tcPr>
            <w:tcW w:w="1075"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w:t>
            </w:r>
          </w:p>
        </w:tc>
        <w:tc>
          <w:tcPr>
            <w:tcW w:w="9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0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c>
          <w:tcPr>
            <w:tcW w:w="16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w:t>
            </w:r>
          </w:p>
        </w:tc>
      </w:tr>
    </w:tbl>
    <w:p>
      <w:pPr>
        <w:sectPr>
          <w:footerReference w:type="default" r:id="rId68"/>
          <w:footerReference w:type="first" r:id="rId69"/>
          <w:type w:val="nextPage"/>
          <w:pgSz w:orient="landscape" w:w="16838" w:h="11906"/>
          <w:pgMar w:left="1134" w:right="1134" w:gutter="0" w:header="0" w:top="1701" w:footer="709" w:bottom="851"/>
          <w:pgNumType w:fmt="decimal"/>
          <w:formProt w:val="false"/>
          <w:textDirection w:val="lrTb"/>
          <w:docGrid w:type="default" w:linePitch="360" w:charSpace="0"/>
        </w:sectPr>
      </w:pPr>
    </w:p>
    <w:p>
      <w:pPr>
        <w:pStyle w:val="3"/>
        <w:rPr/>
      </w:pPr>
      <w:bookmarkStart w:id="156" w:name="_Toc158814614"/>
      <w:r>
        <w:rPr/>
        <w:t>Оценка безопасности и надежности объектов централизованной системы водоотведения и их управляемости</w:t>
      </w:r>
      <w:bookmarkEnd w:id="156"/>
    </w:p>
    <w:p>
      <w:pPr>
        <w:pStyle w:val="Normal"/>
        <w:rPr/>
      </w:pPr>
      <w:r>
        <w:rPr/>
        <w:t>Централизованная система водоотведения Беловского городского округа включает в себя дворовые, уличные канализационные сети, КНС для подъема сточных вод на очистные сооружения и непосредственно очистные сооружения.</w:t>
      </w:r>
    </w:p>
    <w:p>
      <w:pPr>
        <w:pStyle w:val="Normal"/>
        <w:rPr/>
      </w:pPr>
      <w:r>
        <w:rPr/>
        <w:t>Канализационные сети являются наиболее уязвимыми элементами системы водоотведения. Для обеспечения надежной работы канализационных сетей необходимо провести реконструкцию участков сетей, не обеспечивающих нормативную пропускную способность, а также участков, выработавших свой нормативный срок эксплуатации.</w:t>
      </w:r>
    </w:p>
    <w:p>
      <w:pPr>
        <w:pStyle w:val="Normal"/>
        <w:rPr/>
      </w:pPr>
      <w:r>
        <w:rPr/>
        <w:t>Обеспечение надежности работы КНС связано в первую очередь с энергосбережением и снижением количества отказов насосного оборудования. Для обеспечения эффективной работы КНС необходимо выполнить реконструкцию насосных станций с заменой устаревшего насосного оборудования и внедрением автоматизированных систем управления основным оборудованием</w:t>
      </w:r>
    </w:p>
    <w:p>
      <w:pPr>
        <w:pStyle w:val="3"/>
        <w:rPr/>
      </w:pPr>
      <w:bookmarkStart w:id="157" w:name="_Toc158814615"/>
      <w:r>
        <w:rPr/>
        <w:t>Оценка воздействия сбросов сточных вод через централизованную систему водоотведения на окружающую среду</w:t>
      </w:r>
      <w:bookmarkEnd w:id="157"/>
    </w:p>
    <w:p>
      <w:pPr>
        <w:pStyle w:val="Normal"/>
        <w:rPr/>
      </w:pPr>
      <w:r>
        <w:rPr/>
        <w:t>Очистные сооружения г. Белово (центральная часть), пгт. Бачатский, пгт. Новый Городок, мкр. Бабанаково с очисткой сточных вод в соответствии с современными требованиями не справляются, вследствие чего недостаточно очищенные сточные воды сбрасываются в р. Большой Бачат, р. Малый Бачат.</w:t>
      </w:r>
    </w:p>
    <w:p>
      <w:pPr>
        <w:pStyle w:val="Normal"/>
        <w:rPr/>
      </w:pPr>
      <w:r>
        <w:rPr/>
        <w:t>Для снижения негативного воздействия на р. Большой Бачат, р. Малый Бачат и обеспечения выполнения нормативных рыбохозяйственных требований необходимо выполнить следующие мероприятия:</w:t>
      </w:r>
    </w:p>
    <w:p>
      <w:pPr>
        <w:pStyle w:val="Style31"/>
        <w:numPr>
          <w:ilvl w:val="0"/>
          <w:numId w:val="139"/>
        </w:numPr>
        <w:rPr/>
      </w:pPr>
      <w:r>
        <w:rPr/>
        <w:t>строительство новых очистных сооружений с применением современных технологий очистки сточной воды в пгт. Новый Городок, мкр. Бабанаково, пгт. Бачатский.</w:t>
      </w:r>
    </w:p>
    <w:p>
      <w:pPr>
        <w:pStyle w:val="Normal"/>
        <w:rPr/>
      </w:pPr>
      <w:r>
        <w:rPr/>
        <w:t>Для снижения нагрузки на систему хозяйственно-бытовой канализации пгт. Новый Городок, мкр. Бабанаково необходимо выполнить мероприятия по проектированию и строительству отдельной ливневой системы канализации</w:t>
      </w:r>
    </w:p>
    <w:p>
      <w:pPr>
        <w:pStyle w:val="3"/>
        <w:rPr/>
      </w:pPr>
      <w:bookmarkStart w:id="158" w:name="_Toc158814616"/>
      <w:r>
        <w:rPr/>
        <w:t>Описание территорий муниципального образования, не охваченных централизованной системой водоотведения</w:t>
      </w:r>
      <w:bookmarkEnd w:id="158"/>
    </w:p>
    <w:p>
      <w:pPr>
        <w:pStyle w:val="Normal"/>
        <w:tabs>
          <w:tab w:val="clear" w:pos="708"/>
          <w:tab w:val="left" w:pos="1670" w:leader="none"/>
        </w:tabs>
        <w:rPr/>
      </w:pPr>
      <w:r>
        <w:rPr/>
        <w:t>В двух населенных пунктах, входящих в состав Беловского городского округа, централизованная система водоотведения отсутствует полностью: с. Заречное и д. Грамотеино. В домах частного сектора и соцкультбыта имеются надворные уборные. Основная часть хозяйственно-бытовых стоков от частного сектора Беловского Городского округа сбрасывается в выгребные ямы. Из существующих выгребных ям, часть (около 30 %) бетонные, выполнены герметично. Хозяйственно-бытовые стоки из выгребных ям не везде вывозятся на городские очистные сооружения. Вывоз хозяйственно-бытовых стоков от абонентов многоквартирного жилого фонда расположенных: пгт. Грамотеино, мкр. Новостройка (ул. Грамотеинская, 33, 35, 37, Революции, 17, 19, ул. 7-е Ноября, 20, ул. Магистральная 16), мкр. Бабанаково (ул. 3-я Каменская, 1а), г. Белово (ул. Московская, 20, 22, ул. Железнодорожная, 27, ул. Пятигорская, 24, Щетинкина, 60, Школьная, 65), мкр. 8-е Марта (ул. Боевая, 34, 36, 38, 42, 44, 46) осуществляет орган местного самоуправления Беловского Городского округа. Вывоз хозяйственно-бытовых стоков от абонентов многоквартирного жилого фонда расположенных в мкр. Финский дома № 27 и здания спортзала осуществляется за счет собственных средств.</w:t>
      </w:r>
    </w:p>
    <w:p>
      <w:pPr>
        <w:pStyle w:val="Normal"/>
        <w:rPr/>
      </w:pPr>
      <w:r>
        <w:rPr/>
        <w:t xml:space="preserve">В вышеперечисленных районах преобладает индивидуальная жилая застройка. Жители домов частного сектора используют для нужд водоотведения выгребные ямы. Существующая застройка индивидуальными жилыми домами и наличие прочих инженерных коммуникаций усложняет задачу трассировки сетей хозяйственно-бытовой канализации и размещения канализационных насосных станций. Для обеспечения абонентов населенных пунктов услугами централизованного водоотведения требуется разработка принципиальной схемы канализования. </w:t>
      </w:r>
    </w:p>
    <w:p>
      <w:pPr>
        <w:pStyle w:val="3"/>
        <w:rPr/>
      </w:pPr>
      <w:bookmarkStart w:id="159" w:name="_Toc158814617"/>
      <w:r>
        <w:rPr/>
        <w:t>Описание существующих технических и технологических проблем системы водоотведения поселения, городского округа</w:t>
      </w:r>
      <w:bookmarkEnd w:id="159"/>
    </w:p>
    <w:p>
      <w:pPr>
        <w:pStyle w:val="Normal"/>
        <w:rPr/>
      </w:pPr>
      <w:r>
        <w:rPr/>
        <w:t>Ряд очистных сооружений канализации Беловского городского округа не обеспечивает качество очистки сточных вод, удовлетворяющее современным требованиям по нормативным показателям сброса очищенный воды в водоемы. Данная проблема существует в пгт. Новый Городок, мкр. Бабанаково, пгт. Бачатский.</w:t>
      </w:r>
    </w:p>
    <w:p>
      <w:pPr>
        <w:pStyle w:val="Normal"/>
        <w:rPr/>
      </w:pPr>
      <w:r>
        <w:rPr/>
        <w:t>Очистные сооружения пгт. Новый Городок и мкр. Бабанаково, в связи с их длительной эксплуатацией (более 50 лет), на момент актуализации Схемы находятся в аварийном состоянии, вследствие чего качество очистки стоков не соответствует современным требованиям. Без строительства современных очистных сооружений с блоком доочистки, отсутствует возможность довести очистку стоков до жестких современных требований. Кроме того, современные требования к качеству очищенных сточных вод ежегодно ужесточаются.</w:t>
      </w:r>
    </w:p>
    <w:p>
      <w:pPr>
        <w:pStyle w:val="Normal"/>
        <w:rPr/>
      </w:pPr>
      <w:r>
        <w:rPr/>
        <w:t>Ввиду отсутствия системы ливневой канализации в пгт. Новый Городок и мкр. Бабанаково, поверхностные (ливневые и паводковые) воды с территории поселков поступают в систему канализации и транспортируются совместно с хозбытовыми стоками на очистные сооружения. Для снижения нагрузки на систему хозяйственно-бытовой канализации пгт. Новый Городок, мкр. Бабанаково необходимо выполнить мероприятия по проектированию и строительству отдельной ливневой системы канализации.</w:t>
      </w:r>
    </w:p>
    <w:p>
      <w:pPr>
        <w:pStyle w:val="Normal"/>
        <w:rPr/>
      </w:pPr>
      <w:r>
        <w:rPr/>
        <w:t>Большая часть канализационных сетей выработала нормативный срок эксплуатации и требует замены.</w:t>
      </w:r>
    </w:p>
    <w:p>
      <w:pPr>
        <w:pStyle w:val="Normal"/>
        <w:rPr/>
      </w:pPr>
      <w:r>
        <w:rPr/>
        <w:t>Также канализационные насосные станции и напорные коллектора имеют не-удовлетворительное техническое состояние: насосное оборудование главной канализационной насосной станции г. Белово устарело и требует замены, необходима ре-конструкция КНС ул. Железнодорожная, ул. Юбилейная с заменой напорных канализационных коллекторов, а также напорного коллектора от КНС ул. Советская до очистных сооружений г. Белово, необходима реконструкция канализационных насосных станций по ул. Тобольская и напорного канализационного коллектора по ул. Чистопольская в пгт. Инской.</w:t>
      </w:r>
    </w:p>
    <w:p>
      <w:pPr>
        <w:pStyle w:val="3"/>
        <w:rPr/>
      </w:pPr>
      <w:bookmarkStart w:id="160" w:name="_Toc158814618"/>
      <w:r>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160"/>
    </w:p>
    <w:p>
      <w:pPr>
        <w:pStyle w:val="Normal"/>
        <w:rPr/>
      </w:pPr>
      <w:r>
        <w:rPr/>
        <w:t>В соответствии с пунктами 4 и 5 [</w:t>
      </w:r>
      <w:r>
        <w:rPr/>
        <w:fldChar w:fldCharType="begin"/>
      </w:r>
      <w:r>
        <w:rPr/>
        <w:instrText xml:space="preserve"> REF _Ref156942609 \n \h </w:instrText>
      </w:r>
      <w:r>
        <w:rPr/>
        <w:fldChar w:fldCharType="separate"/>
      </w:r>
      <w:r>
        <w:rPr/>
        <w:t>28</w:t>
      </w:r>
      <w:r>
        <w:rPr/>
        <w:fldChar w:fldCharType="end"/>
      </w:r>
      <w:r>
        <w:rPr/>
        <w:t>], совокупности критериев отнесения ЦС ВО к централизованным системам городского поселения на момент настоящей актуализации Схемы ВСиВО Беловского ГО соответствуют все ЦС ВО Беловского ГО, эксплуатацию объектов ЦС ВО внутри которых осуществляют ООО «БелГОС», ООО «Водоснабжение», ООО «Белсток», ООО «ЭК»:</w:t>
      </w:r>
    </w:p>
    <w:p>
      <w:pPr>
        <w:pStyle w:val="Normal"/>
        <w:rPr/>
      </w:pPr>
      <w:r>
        <w:rPr/>
        <w:t>1) объем сточных вод, принятых от объектов, перечисленных в пункте 5 указанных выше Правил, в данную ЦС ВО составлял за период 2020–2022 гг. 100%;</w:t>
      </w:r>
    </w:p>
    <w:p>
      <w:pPr>
        <w:pStyle w:val="Normal"/>
        <w:rPr/>
      </w:pPr>
      <w:r>
        <w:rPr/>
        <w:t>2) одним из видов экономической деятельности, определяемых в соответствии с Общероссийским классификатором видов экономической деятельности, ООО «БелГОС», ООО «Водоснабжение», ООО «Белсток», ООО «ЭК» является деятельность по сбору и обработке сточных вод.</w:t>
      </w:r>
    </w:p>
    <w:p>
      <w:pPr>
        <w:pStyle w:val="2"/>
        <w:rPr/>
      </w:pPr>
      <w:bookmarkStart w:id="161" w:name="_Toc158814619"/>
      <w:r>
        <w:rPr/>
        <w:t>Балансы сточных вод в системе водоотведения</w:t>
      </w:r>
      <w:bookmarkEnd w:id="161"/>
    </w:p>
    <w:p>
      <w:pPr>
        <w:pStyle w:val="3"/>
        <w:rPr/>
      </w:pPr>
      <w:bookmarkStart w:id="162" w:name="_Toc158814620"/>
      <w:r>
        <w:rPr/>
        <w:t>Баланс поступления сточных вод в централизованную систему водоотведения и отведения стоков по технологическим зонам водоотведения</w:t>
      </w:r>
      <w:bookmarkEnd w:id="162"/>
    </w:p>
    <w:p>
      <w:pPr>
        <w:pStyle w:val="Normal"/>
        <w:rPr/>
      </w:pPr>
      <w:r>
        <w:rPr/>
        <w:t xml:space="preserve">Баланс поступления сточных вод в ЦС ВО и отведения стоков в эксплуатационных зонах ООО «БелГОС», ООО «Водоснабжение» и ООО «ЭК» на территории Беловского ГО приведены в таблице </w:t>
      </w:r>
      <w:r>
        <w:rPr/>
        <w:fldChar w:fldCharType="begin"/>
      </w:r>
      <w:r>
        <w:rPr/>
        <w:instrText xml:space="preserve"> REF _Ref156692822 \h </w:instrText>
      </w:r>
      <w:r>
        <w:rPr/>
        <w:fldChar w:fldCharType="separate"/>
      </w:r>
      <w:r>
        <w:rPr/>
        <w:t>Таблица 2.2.30</w:t>
      </w:r>
      <w:r>
        <w:rPr/>
        <w:fldChar w:fldCharType="end"/>
      </w:r>
      <w:r>
        <w:rPr/>
        <w:t>.</w:t>
      </w:r>
    </w:p>
    <w:p>
      <w:pPr>
        <w:pStyle w:val="Style34"/>
        <w:rPr>
          <w:vertAlign w:val="superscript"/>
        </w:rPr>
      </w:pPr>
      <w:bookmarkStart w:id="163" w:name="_Ref156692822"/>
      <w:r>
        <w:rPr/>
        <w:t xml:space="preserve">Таблица </w:t>
      </w:r>
      <w:r>
        <w:fldChar w:fldCharType="begin"/>
      </w:r>
      <w:r>
        <w:rPr/>
        <w:instrText xml:space="preserve">STYLEREF 2 \s</w:instrText>
      </w:r>
      <w:r>
        <w:rPr/>
      </w:r>
      <w:r>
        <w:rPr/>
        <w:fldChar w:fldCharType="separate"/>
      </w:r>
      <w:r>
        <w:rPr/>
        <w:t>2.2</w:t>
      </w:r>
      <w:r>
        <w:rPr/>
      </w:r>
      <w:r>
        <w:rPr/>
        <w:fldChar w:fldCharType="end"/>
      </w:r>
      <w:r>
        <w:rPr/>
        <w:t>.</w:t>
      </w:r>
      <w:r>
        <w:rPr/>
        <w:fldChar w:fldCharType="begin"/>
      </w:r>
      <w:r>
        <w:rPr/>
        <w:instrText xml:space="preserve"> SEQ Таблица \* ARABIC </w:instrText>
      </w:r>
      <w:r>
        <w:rPr/>
        <w:fldChar w:fldCharType="separate"/>
      </w:r>
      <w:r>
        <w:rPr/>
        <w:t>30</w:t>
      </w:r>
      <w:r>
        <w:rPr/>
        <w:fldChar w:fldCharType="end"/>
      </w:r>
      <w:bookmarkEnd w:id="163"/>
      <w:r>
        <w:rPr/>
        <w:t xml:space="preserve"> – Баланс поступления сточных вод в ЦС ВО и отведения стоков в эксплуатационных зонах ООО «БелГОС», ООО «Водоснабжение» и ООО «ЭК»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51"/>
        <w:gridCol w:w="5273"/>
        <w:gridCol w:w="944"/>
        <w:gridCol w:w="645"/>
        <w:gridCol w:w="648"/>
        <w:gridCol w:w="648"/>
        <w:gridCol w:w="645"/>
      </w:tblGrid>
      <w:tr>
        <w:trPr>
          <w:tblHeader w:val="true"/>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52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6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2020</w:t>
            </w:r>
          </w:p>
        </w:tc>
        <w:tc>
          <w:tcPr>
            <w:tcW w:w="64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2021</w:t>
            </w:r>
          </w:p>
        </w:tc>
        <w:tc>
          <w:tcPr>
            <w:tcW w:w="64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645"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Times New Roman"/>
                <w:color w:val="000000"/>
                <w:sz w:val="18"/>
                <w:szCs w:val="18"/>
                <w:vertAlign w:val="superscript"/>
                <w:lang w:eastAsia="ru-RU"/>
              </w:rPr>
            </w:pPr>
            <w:r>
              <w:rPr>
                <w:rFonts w:eastAsia="Times New Roman" w:cs="Times New Roman"/>
                <w:color w:val="000000"/>
                <w:sz w:val="18"/>
                <w:szCs w:val="18"/>
                <w:lang w:eastAsia="ru-RU"/>
              </w:rPr>
              <w:t>2023</w:t>
            </w:r>
            <w:r>
              <w:rPr>
                <w:rFonts w:eastAsia="Times New Roman" w:cs="Times New Roman"/>
                <w:color w:val="000000"/>
                <w:sz w:val="18"/>
                <w:szCs w:val="18"/>
                <w:vertAlign w:val="superscript"/>
                <w:lang w:eastAsia="ru-RU"/>
              </w:rPr>
              <w:t>1</w:t>
            </w:r>
          </w:p>
        </w:tc>
      </w:tr>
      <w:tr>
        <w:trPr>
          <w:tblHeader w:val="true"/>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645" w:type="dxa"/>
            <w:tcBorders>
              <w:bottom w:val="single" w:sz="4" w:space="0" w:color="000000"/>
              <w:right w:val="single" w:sz="4" w:space="0" w:color="000000"/>
            </w:tcBorders>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27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«БелГОС»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8956,40</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8956,40</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47,3</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25,39</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25,50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25,32</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24,52</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1.2.3</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30,47</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30,60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30,39</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29,43</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16,83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16,91</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17,87</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156%</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161%</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vertAlign w:val="superscript"/>
                <w:lang w:eastAsia="ru-RU"/>
              </w:rPr>
            </w:pPr>
            <w:r>
              <w:rPr>
                <w:rFonts w:eastAsia="Times New Roman" w:cs="Times New Roman"/>
                <w:color w:val="000000"/>
                <w:sz w:val="18"/>
                <w:szCs w:val="18"/>
                <w:lang w:eastAsia="ru-RU"/>
              </w:rPr>
              <w:t>ООО «Водоснабжение»</w:t>
            </w:r>
            <w:r>
              <w:rPr>
                <w:rFonts w:eastAsia="Times New Roman" w:cs="Times New Roman"/>
                <w:color w:val="000000"/>
                <w:sz w:val="18"/>
                <w:szCs w:val="18"/>
                <w:vertAlign w:val="superscript"/>
                <w:lang w:eastAsia="ru-RU"/>
              </w:rPr>
              <w:t>2</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932,86</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932,86</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7,1</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2,78</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2,64</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2,55</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2.2.3</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1,20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3,34</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3,17</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3,06</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3,76</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3,93</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4,04</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213%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224%</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232%</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«ЭК»</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 в т.ч.:</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1273,21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1444,95</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1226,18</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населения</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593,93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609,26</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576,84</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558,56</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прочих абонентов</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279,28</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372,97</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677,19</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443,14</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3.1.1.3</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собственные нужды</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26,88</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22,93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26,29</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25,37</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3.1.1.4</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хоз. нужды предприятия</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164,63</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268,05</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164,63</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199,11</w:t>
            </w:r>
          </w:p>
        </w:tc>
      </w:tr>
      <w:tr>
        <w:trPr>
          <w:trHeight w:val="20" w:hRule="atLeast"/>
        </w:trPr>
        <w:tc>
          <w:tcPr>
            <w:tcW w:w="551"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3.1.1.5</w:t>
            </w:r>
          </w:p>
        </w:tc>
        <w:tc>
          <w:tcPr>
            <w:tcW w:w="527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неучтенный приток сточных вод</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1273,21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1444,95</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1226,18</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10,1</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3.2.2</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3,49</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3,96</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3,36</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3.2.3</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4,18</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4,75</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4,03</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6,60</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5,92</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5,35</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6,07</w:t>
            </w:r>
          </w:p>
        </w:tc>
      </w:tr>
      <w:tr>
        <w:trPr>
          <w:trHeight w:val="20" w:hRule="atLeast"/>
        </w:trPr>
        <w:tc>
          <w:tcPr>
            <w:tcW w:w="55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3.2.4.1</w:t>
            </w:r>
          </w:p>
        </w:tc>
        <w:tc>
          <w:tcPr>
            <w:tcW w:w="52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241%</w:t>
            </w:r>
          </w:p>
        </w:tc>
        <w:tc>
          <w:tcPr>
            <w:tcW w:w="6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213%</w:t>
            </w:r>
          </w:p>
        </w:tc>
        <w:tc>
          <w:tcPr>
            <w:tcW w:w="645" w:type="dxa"/>
            <w:tcBorders>
              <w:bottom w:val="single" w:sz="4" w:space="0" w:color="000000"/>
              <w:right w:val="single" w:sz="4" w:space="0" w:color="000000"/>
            </w:tcBorders>
            <w:vAlign w:val="center"/>
          </w:tcPr>
          <w:p>
            <w:pPr>
              <w:pStyle w:val="Normal"/>
              <w:widowControl w:val="false"/>
              <w:spacing w:before="0" w:after="0"/>
              <w:ind w:hanging="0"/>
              <w:jc w:val="center"/>
              <w:rPr>
                <w:color w:val="000000"/>
                <w:sz w:val="18"/>
                <w:szCs w:val="18"/>
              </w:rPr>
            </w:pPr>
            <w:r>
              <w:rPr>
                <w:color w:val="000000"/>
                <w:sz w:val="18"/>
                <w:szCs w:val="18"/>
              </w:rPr>
              <w:t>251%</w:t>
            </w:r>
          </w:p>
        </w:tc>
      </w:tr>
    </w:tbl>
    <w:p>
      <w:pPr>
        <w:pStyle w:val="Style35"/>
        <w:rPr/>
      </w:pPr>
      <w:r>
        <w:rPr/>
        <w:t xml:space="preserve">Примечания </w:t>
      </w:r>
    </w:p>
    <w:p>
      <w:pPr>
        <w:pStyle w:val="Style35"/>
        <w:rPr/>
      </w:pPr>
      <w:r>
        <w:rPr/>
        <w:t xml:space="preserve">1 Сведения о фактических балансах водоотведения за 2023 год ресурсоснабжающими организациями предоставлены не были. Балансы определены исходя из прогнозной численности населения (см. </w:t>
      </w:r>
      <w:hyperlink w:anchor="_Различные_сценарии_развития">
        <w:r>
          <w:rPr>
            <w:rStyle w:val="-"/>
          </w:rPr>
          <w:t>подраздел 1.2.2</w:t>
        </w:r>
      </w:hyperlink>
      <w:r>
        <w:rPr/>
        <w:t>).</w:t>
      </w:r>
    </w:p>
    <w:p>
      <w:pPr>
        <w:pStyle w:val="Style35"/>
        <w:rPr/>
      </w:pPr>
      <w:r>
        <w:rPr/>
        <w:t>2 ООО «Водоснабжение» эксплуатирует сети водоотведения, эксплуатация КОС в пгт. Новый Городок и мкр. Бабанаково в ведении ООО «Белсток». Данные о фактических балансах водоотведения предоставлены ООО «Водоснабжение».</w:t>
      </w:r>
    </w:p>
    <w:p>
      <w:pPr>
        <w:pStyle w:val="Normal"/>
        <w:rPr/>
      </w:pPr>
      <w:r>
        <w:rPr/>
        <w:t xml:space="preserve">Диаграмма распределения объема сточных вод по эксплуатационным зонам за 2022 год на территории Беловского ГО приведена на рисунке </w:t>
      </w:r>
      <w:r>
        <w:rPr/>
        <w:fldChar w:fldCharType="begin"/>
      </w:r>
      <w:r>
        <w:rPr/>
        <w:instrText xml:space="preserve"> REF _Ref156693181 \h </w:instrText>
      </w:r>
      <w:r>
        <w:rPr/>
        <w:fldChar w:fldCharType="separate"/>
      </w:r>
      <w:r>
        <w:rPr/>
        <w:t>Рисунок 2.2.38</w:t>
      </w:r>
      <w:r>
        <w:rPr/>
        <w:fldChar w:fldCharType="end"/>
      </w:r>
      <w:r>
        <w:rPr/>
        <w:t>.</w:t>
      </w:r>
    </w:p>
    <w:p>
      <w:pPr>
        <w:pStyle w:val="Style26"/>
        <w:rPr/>
      </w:pPr>
      <w:r>
        <w:rPr/>
        <w:drawing>
          <wp:inline distT="0" distB="0" distL="0" distR="0">
            <wp:extent cx="5949950" cy="3435985"/>
            <wp:effectExtent l="0" t="0" r="0" b="0"/>
            <wp:docPr id="40" name="Рисунок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
                    <pic:cNvPicPr>
                      <a:picLocks noChangeAspect="1" noChangeArrowheads="1"/>
                    </pic:cNvPicPr>
                  </pic:nvPicPr>
                  <pic:blipFill>
                    <a:blip r:embed="rId70"/>
                    <a:stretch>
                      <a:fillRect/>
                    </a:stretch>
                  </pic:blipFill>
                  <pic:spPr bwMode="auto">
                    <a:xfrm>
                      <a:off x="0" y="0"/>
                      <a:ext cx="5949950" cy="3435985"/>
                    </a:xfrm>
                    <a:prstGeom prst="rect">
                      <a:avLst/>
                    </a:prstGeom>
                  </pic:spPr>
                </pic:pic>
              </a:graphicData>
            </a:graphic>
          </wp:inline>
        </w:drawing>
      </w:r>
    </w:p>
    <w:p>
      <w:pPr>
        <w:pStyle w:val="Caption"/>
        <w:rPr/>
      </w:pPr>
      <w:bookmarkStart w:id="164" w:name="_Ref156693181"/>
      <w:r>
        <w:rPr/>
        <w:t xml:space="preserve">Рисунок </w:t>
      </w:r>
      <w:r>
        <w:fldChar w:fldCharType="begin"/>
      </w:r>
      <w:r>
        <w:rPr/>
        <w:instrText xml:space="preserve">STYLEREF 2 \s</w:instrText>
      </w:r>
      <w:r>
        <w:rPr/>
      </w:r>
      <w:r>
        <w:rPr/>
        <w:fldChar w:fldCharType="separate"/>
      </w:r>
      <w:r>
        <w:rPr/>
        <w:t>2.2</w:t>
      </w:r>
      <w:r>
        <w:rPr/>
      </w:r>
      <w:r>
        <w:rPr/>
        <w:fldChar w:fldCharType="end"/>
      </w:r>
      <w:r>
        <w:rPr/>
        <w:t>.</w:t>
      </w:r>
      <w:r>
        <w:rPr/>
        <w:fldChar w:fldCharType="begin"/>
      </w:r>
      <w:r>
        <w:rPr/>
        <w:instrText xml:space="preserve"> SEQ Рисунок \* ARABIC </w:instrText>
      </w:r>
      <w:r>
        <w:rPr/>
        <w:fldChar w:fldCharType="separate"/>
      </w:r>
      <w:r>
        <w:rPr/>
        <w:t>38</w:t>
      </w:r>
      <w:r>
        <w:rPr/>
        <w:fldChar w:fldCharType="end"/>
      </w:r>
      <w:bookmarkEnd w:id="164"/>
      <w:r>
        <w:rPr/>
        <w:t xml:space="preserve"> – Диаграмма распределения объема сточных вод по эксплуатационным зонам за 2022 год на территории Беловского ГО</w:t>
      </w:r>
    </w:p>
    <w:p>
      <w:pPr>
        <w:pStyle w:val="Normal"/>
        <w:rPr/>
      </w:pPr>
      <w:r>
        <w:rPr/>
        <w:t xml:space="preserve">Данные по объемам принятых сточных вод в разрезе групп абонентов предоставлены только ООО «ЭК», диаграмма на основании указанных данных за 2022 год приведена в рисунке </w:t>
      </w:r>
      <w:r>
        <w:rPr/>
        <w:fldChar w:fldCharType="begin"/>
      </w:r>
      <w:r>
        <w:rPr/>
        <w:instrText xml:space="preserve"> REF _Ref156693489 \h </w:instrText>
      </w:r>
      <w:r>
        <w:rPr/>
        <w:fldChar w:fldCharType="separate"/>
      </w:r>
      <w:r>
        <w:rPr/>
        <w:t>Рисунок 2.2.39</w:t>
      </w:r>
      <w:r>
        <w:rPr/>
        <w:fldChar w:fldCharType="end"/>
      </w:r>
      <w:r>
        <w:rPr/>
        <w:t>.</w:t>
      </w:r>
    </w:p>
    <w:p>
      <w:pPr>
        <w:pStyle w:val="Style26"/>
        <w:rPr/>
      </w:pPr>
      <w:r>
        <w:rPr/>
        <w:drawing>
          <wp:inline distT="0" distB="0" distL="0" distR="0">
            <wp:extent cx="5956300" cy="3476625"/>
            <wp:effectExtent l="0" t="0" r="0" b="0"/>
            <wp:docPr id="4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
                    <pic:cNvPicPr>
                      <a:picLocks noChangeAspect="1" noChangeArrowheads="1"/>
                    </pic:cNvPicPr>
                  </pic:nvPicPr>
                  <pic:blipFill>
                    <a:blip r:embed="rId71"/>
                    <a:stretch>
                      <a:fillRect/>
                    </a:stretch>
                  </pic:blipFill>
                  <pic:spPr bwMode="auto">
                    <a:xfrm>
                      <a:off x="0" y="0"/>
                      <a:ext cx="5956300" cy="3476625"/>
                    </a:xfrm>
                    <a:prstGeom prst="rect">
                      <a:avLst/>
                    </a:prstGeom>
                  </pic:spPr>
                </pic:pic>
              </a:graphicData>
            </a:graphic>
          </wp:inline>
        </w:drawing>
      </w:r>
    </w:p>
    <w:p>
      <w:pPr>
        <w:pStyle w:val="Caption"/>
        <w:rPr/>
      </w:pPr>
      <w:bookmarkStart w:id="165" w:name="_Ref156693489"/>
      <w:r>
        <w:rPr/>
        <w:t xml:space="preserve">Рисунок </w:t>
      </w:r>
      <w:r>
        <w:fldChar w:fldCharType="begin"/>
      </w:r>
      <w:r>
        <w:rPr/>
        <w:instrText xml:space="preserve">STYLEREF 2 \s</w:instrText>
      </w:r>
      <w:r>
        <w:rPr/>
      </w:r>
      <w:r>
        <w:rPr/>
        <w:fldChar w:fldCharType="separate"/>
      </w:r>
      <w:r>
        <w:rPr/>
        <w:t>2.2</w:t>
      </w:r>
      <w:r>
        <w:rPr/>
      </w:r>
      <w:r>
        <w:rPr/>
        <w:fldChar w:fldCharType="end"/>
      </w:r>
      <w:r>
        <w:rPr/>
        <w:t>.</w:t>
      </w:r>
      <w:r>
        <w:rPr/>
        <w:fldChar w:fldCharType="begin"/>
      </w:r>
      <w:r>
        <w:rPr/>
        <w:instrText xml:space="preserve"> SEQ Рисунок \* ARABIC </w:instrText>
      </w:r>
      <w:r>
        <w:rPr/>
        <w:fldChar w:fldCharType="separate"/>
      </w:r>
      <w:r>
        <w:rPr/>
        <w:t>39</w:t>
      </w:r>
      <w:r>
        <w:rPr/>
        <w:fldChar w:fldCharType="end"/>
      </w:r>
      <w:bookmarkEnd w:id="165"/>
      <w:r>
        <w:rPr/>
        <w:t xml:space="preserve"> – Данные по объемам принятых сточных вод в разрезе групп абонентов ООО «ЭК» за 2022 год</w:t>
      </w:r>
    </w:p>
    <w:p>
      <w:pPr>
        <w:pStyle w:val="3"/>
        <w:rPr/>
      </w:pPr>
      <w:bookmarkStart w:id="166" w:name="_Toc158814621"/>
      <w:r>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66"/>
    </w:p>
    <w:p>
      <w:pPr>
        <w:pStyle w:val="Normal"/>
        <w:rPr/>
      </w:pPr>
      <w:r>
        <w:rPr/>
        <w:t>Под неорганизованным стоком понимается поступление в ЦС ВО ливневых и грунтовых вод и талого снега через неплотности люков и трубопроводов канализационных сетей. Также неорганизованному стоку относится несанкционированное (незаконное) присоединение абонентов к ЦС ВО.</w:t>
      </w:r>
    </w:p>
    <w:p>
      <w:pPr>
        <w:pStyle w:val="Normal"/>
        <w:rPr/>
      </w:pPr>
      <w:r>
        <w:rPr/>
        <w:t>В ходе эксплуатационных мероприятий ресурсоснабжающих предприятий и после анализа поступления сточных вод на очистные сооружения можно сделать вывод о наличии поступления в существующую систему водоотведения неорганизованных стоков с поверхности рельефа.</w:t>
      </w:r>
    </w:p>
    <w:p>
      <w:pPr>
        <w:pStyle w:val="Normal"/>
        <w:rPr/>
      </w:pPr>
      <w:r>
        <w:rPr/>
        <w:t>Точная информация о наличии и количестве выгребных ям или накопительных емкостей отсутствует. В данной Схеме принимается, что все стоки от потребителей, не подключенных к централизованной системе водоотведения, поступают на рельеф и являются неорганизованными.</w:t>
      </w:r>
    </w:p>
    <w:p>
      <w:pPr>
        <w:pStyle w:val="3"/>
        <w:rPr/>
      </w:pPr>
      <w:bookmarkStart w:id="167" w:name="_Toc158814622"/>
      <w:r>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67"/>
    </w:p>
    <w:p>
      <w:pPr>
        <w:pStyle w:val="Normal"/>
        <w:rPr/>
      </w:pPr>
      <w:r>
        <w:rPr/>
        <w:t xml:space="preserve">Информация о контрольно-измерительных приборах для определения объема сточных вод, поступающих на очистные сооружения ООО «Водоснабжение» Беловского городского округа, не предоставлена. Сведения об установленных приборах учета сточных вод ООО «БелГОС» и ООО «ЭК» представлены в таблице </w:t>
      </w:r>
      <w:r>
        <w:rPr/>
        <w:fldChar w:fldCharType="begin"/>
      </w:r>
      <w:r>
        <w:rPr/>
        <w:instrText xml:space="preserve"> REF _Ref156695667 \h </w:instrText>
      </w:r>
      <w:r>
        <w:rPr/>
        <w:fldChar w:fldCharType="separate"/>
      </w:r>
      <w:r>
        <w:rPr/>
        <w:t>Таблица 2.2.31</w:t>
      </w:r>
      <w:r>
        <w:rPr/>
        <w:fldChar w:fldCharType="end"/>
      </w:r>
      <w:r>
        <w:rPr/>
        <w:t>.</w:t>
      </w:r>
    </w:p>
    <w:p>
      <w:pPr>
        <w:pStyle w:val="Style34"/>
        <w:rPr/>
      </w:pPr>
      <w:bookmarkStart w:id="168" w:name="_Ref156695667"/>
      <w:r>
        <w:rPr/>
        <w:t xml:space="preserve">Таблица </w:t>
      </w:r>
      <w:r>
        <w:fldChar w:fldCharType="begin"/>
      </w:r>
      <w:r>
        <w:rPr/>
        <w:instrText xml:space="preserve">STYLEREF 2 \s</w:instrText>
      </w:r>
      <w:r>
        <w:rPr/>
      </w:r>
      <w:r>
        <w:rPr/>
        <w:fldChar w:fldCharType="separate"/>
      </w:r>
      <w:r>
        <w:rPr/>
        <w:t>2.2</w:t>
      </w:r>
      <w:r>
        <w:rPr/>
      </w:r>
      <w:r>
        <w:rPr/>
        <w:fldChar w:fldCharType="end"/>
      </w:r>
      <w:r>
        <w:rPr/>
        <w:t>.</w:t>
      </w:r>
      <w:r>
        <w:rPr/>
        <w:fldChar w:fldCharType="begin"/>
      </w:r>
      <w:r>
        <w:rPr/>
        <w:instrText xml:space="preserve"> SEQ Таблица \* ARABIC </w:instrText>
      </w:r>
      <w:r>
        <w:rPr/>
        <w:fldChar w:fldCharType="separate"/>
      </w:r>
      <w:r>
        <w:rPr/>
        <w:t>31</w:t>
      </w:r>
      <w:r>
        <w:rPr/>
        <w:fldChar w:fldCharType="end"/>
      </w:r>
      <w:bookmarkEnd w:id="168"/>
      <w:r>
        <w:rPr/>
        <w:t xml:space="preserve"> – Установленные приборы учета сточных вод ООО «БелГОС» и ООО «ЭК»</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758"/>
        <w:gridCol w:w="2504"/>
        <w:gridCol w:w="3746"/>
        <w:gridCol w:w="2346"/>
      </w:tblGrid>
      <w:tr>
        <w:trPr>
          <w:tblHeader w:val="true"/>
          <w:trHeight w:val="20" w:hRule="atLeast"/>
        </w:trPr>
        <w:tc>
          <w:tcPr>
            <w:tcW w:w="758"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504"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Наименование КОС</w:t>
            </w:r>
          </w:p>
        </w:tc>
        <w:tc>
          <w:tcPr>
            <w:tcW w:w="3746"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Тип прибора учета</w:t>
            </w:r>
          </w:p>
        </w:tc>
        <w:tc>
          <w:tcPr>
            <w:tcW w:w="2346" w:type="dxa"/>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прибора по паспорту</w:t>
            </w:r>
          </w:p>
        </w:tc>
      </w:tr>
      <w:tr>
        <w:trPr>
          <w:tblHeader w:val="true"/>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8596" w:type="dxa"/>
            <w:gridSpan w:val="3"/>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ООО «БелГОС»</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1.1</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sz w:val="20"/>
                <w:szCs w:val="20"/>
                <w:lang w:eastAsia="ru-RU"/>
              </w:rPr>
              <w:t>КОС г. Белово</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Взлет РСЛ</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800187</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1.2</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sz w:val="20"/>
                <w:szCs w:val="20"/>
                <w:lang w:eastAsia="ru-RU"/>
              </w:rPr>
              <w:t>КОС пгт. Инской</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Взлет РСЛ</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300132</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1.3</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sz w:val="20"/>
                <w:szCs w:val="20"/>
                <w:lang w:eastAsia="ru-RU"/>
              </w:rPr>
              <w:t>КОС пгт. Грамотеино</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Взлет РСЛ</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800147</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1.4</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sz w:val="20"/>
                <w:szCs w:val="20"/>
                <w:lang w:eastAsia="ru-RU"/>
              </w:rPr>
              <w:t>КОС мкр. Ивушка</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ЭХО-Р-02</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4990</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8596" w:type="dxa"/>
            <w:gridSpan w:val="3"/>
            <w:tcBorders>
              <w:top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sz w:val="20"/>
                <w:szCs w:val="20"/>
                <w:lang w:eastAsia="ru-RU"/>
              </w:rPr>
              <w:t>ООО «ЭК»</w:t>
            </w:r>
          </w:p>
        </w:tc>
      </w:tr>
      <w:tr>
        <w:trPr>
          <w:trHeight w:val="20" w:hRule="atLeast"/>
        </w:trPr>
        <w:tc>
          <w:tcPr>
            <w:tcW w:w="758"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sz w:val="20"/>
                <w:szCs w:val="20"/>
                <w:lang w:eastAsia="ru-RU"/>
              </w:rPr>
              <w:t>2.1</w:t>
            </w:r>
          </w:p>
        </w:tc>
        <w:tc>
          <w:tcPr>
            <w:tcW w:w="250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rPr>
                <w:rFonts w:eastAsia="Times New Roman" w:cs="Times New Roman"/>
                <w:color w:val="000000"/>
                <w:sz w:val="20"/>
                <w:szCs w:val="20"/>
                <w:lang w:eastAsia="ru-RU"/>
              </w:rPr>
            </w:pPr>
            <w:r>
              <w:rPr>
                <w:rFonts w:eastAsia="Times New Roman" w:cs="Times New Roman"/>
                <w:sz w:val="20"/>
                <w:szCs w:val="20"/>
                <w:lang w:eastAsia="ru-RU"/>
              </w:rPr>
              <w:t>КОС пгт. Бачатский»</w:t>
            </w:r>
          </w:p>
        </w:tc>
        <w:tc>
          <w:tcPr>
            <w:tcW w:w="37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val="en-US" w:eastAsia="ru-RU"/>
              </w:rPr>
            </w:pPr>
            <w:r>
              <w:rPr>
                <w:rFonts w:eastAsia="Times New Roman" w:cs="Times New Roman"/>
                <w:sz w:val="20"/>
                <w:szCs w:val="20"/>
                <w:lang w:val="en-US" w:eastAsia="ru-RU"/>
              </w:rPr>
              <w:t>Grenline AVFM 5.0 (QZ02L-UT-01-SD)</w:t>
            </w:r>
          </w:p>
        </w:tc>
        <w:tc>
          <w:tcPr>
            <w:tcW w:w="234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val="en-US" w:eastAsia="ru-RU"/>
              </w:rPr>
              <w:t> </w:t>
            </w:r>
            <w:r>
              <w:rPr>
                <w:rFonts w:eastAsia="Times New Roman" w:cs="Times New Roman"/>
                <w:color w:val="000000"/>
                <w:sz w:val="20"/>
                <w:szCs w:val="20"/>
                <w:lang w:eastAsia="ru-RU"/>
              </w:rPr>
              <w:t>н/д</w:t>
            </w:r>
          </w:p>
        </w:tc>
      </w:tr>
    </w:tbl>
    <w:p>
      <w:pPr>
        <w:pStyle w:val="3"/>
        <w:rPr/>
      </w:pPr>
      <w:bookmarkStart w:id="169" w:name="_Toc158814623"/>
      <w:r>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69"/>
    </w:p>
    <w:p>
      <w:pPr>
        <w:pStyle w:val="Normal"/>
        <w:rPr/>
      </w:pPr>
      <w:r>
        <w:rPr/>
        <w:t>Результаты ретроспективного анализа балансов поступления сточных вод в ЦС ВО по технологическим зонам водоотведения на территории Беловского ГО с выделением зон дефицитов и резервов производственных мощностей приведены выше подразделе 2.2.1.</w:t>
      </w:r>
    </w:p>
    <w:p>
      <w:pPr>
        <w:pStyle w:val="3"/>
        <w:rPr/>
      </w:pPr>
      <w:bookmarkStart w:id="170" w:name="_Toc158814624"/>
      <w:r>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70"/>
    </w:p>
    <w:p>
      <w:pPr>
        <w:pStyle w:val="Normal"/>
        <w:rPr/>
      </w:pPr>
      <w:r>
        <w:rPr/>
        <w:t>Прогнозные балансы поступления сточных вод в ЦС ВО и отведения стоков по технологическим зонам водоотведения на срок не менее 10 лет в соответствии со сценарием развития Беловского ГО приведенным выше в подразделе 1.2.2, а также учитывающие эффекты от реализации мероприятий по строительству, реконструкции и модернизации объектов ЦС ВО, приведены ниже в подразделе 2.3.1.</w:t>
      </w:r>
    </w:p>
    <w:p>
      <w:pPr>
        <w:pStyle w:val="2"/>
        <w:rPr/>
      </w:pPr>
      <w:bookmarkStart w:id="171" w:name="_Toc158814625"/>
      <w:r>
        <w:rPr/>
        <w:t>Прогноз объема сточных вод</w:t>
      </w:r>
      <w:bookmarkEnd w:id="171"/>
    </w:p>
    <w:p>
      <w:pPr>
        <w:pStyle w:val="3"/>
        <w:rPr/>
      </w:pPr>
      <w:bookmarkStart w:id="172" w:name="_Toc158814626"/>
      <w:bookmarkStart w:id="173" w:name="_Сведения_о_фактическом"/>
      <w:bookmarkEnd w:id="173"/>
      <w:r>
        <w:rPr/>
        <w:t>Сведения о фактическом и ожидаемом поступлении сточных вод в централизованную систему водоотведения</w:t>
      </w:r>
      <w:bookmarkEnd w:id="172"/>
    </w:p>
    <w:p>
      <w:pPr>
        <w:sectPr>
          <w:footerReference w:type="default" r:id="rId72"/>
          <w:footerReference w:type="first" r:id="rId73"/>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Сведения о фактическом и ожидаемом поступлении сточных вод в ЦС ВО в эксплуатационных зонах ООО «БелГОС», ООО «Водоснабжение» и ООО «ЭК» на территории Беловского ГО представлены в таблице </w:t>
      </w:r>
      <w:r>
        <w:rPr/>
        <w:fldChar w:fldCharType="begin"/>
      </w:r>
      <w:r>
        <w:rPr/>
        <w:instrText xml:space="preserve"> REF _Ref156857628 \h </w:instrText>
      </w:r>
      <w:r>
        <w:rPr/>
        <w:fldChar w:fldCharType="separate"/>
      </w:r>
      <w:r>
        <w:rPr/>
        <w:t>Таблица 2.3.32</w:t>
      </w:r>
      <w:r>
        <w:rPr/>
        <w:fldChar w:fldCharType="end"/>
      </w:r>
      <w:r>
        <w:rPr/>
        <w:t>.</w:t>
      </w:r>
    </w:p>
    <w:p>
      <w:pPr>
        <w:pStyle w:val="Style34"/>
        <w:rPr/>
      </w:pPr>
      <w:bookmarkStart w:id="174" w:name="_Ref156857628"/>
      <w:r>
        <w:rPr/>
        <w:t xml:space="preserve">Таблица </w:t>
      </w:r>
      <w:r>
        <w:fldChar w:fldCharType="begin"/>
      </w:r>
      <w:r>
        <w:rPr/>
        <w:instrText xml:space="preserve">STYLEREF 2 \s</w:instrText>
      </w:r>
      <w:r>
        <w:rPr/>
      </w:r>
      <w:r>
        <w:rPr/>
        <w:fldChar w:fldCharType="separate"/>
      </w:r>
      <w:r>
        <w:rPr/>
        <w:t>2.3</w:t>
      </w:r>
      <w:r>
        <w:rPr/>
      </w:r>
      <w:r>
        <w:rPr/>
        <w:fldChar w:fldCharType="end"/>
      </w:r>
      <w:r>
        <w:rPr/>
        <w:t>.</w:t>
      </w:r>
      <w:r>
        <w:rPr/>
        <w:fldChar w:fldCharType="begin"/>
      </w:r>
      <w:r>
        <w:rPr/>
        <w:instrText xml:space="preserve"> SEQ Таблица \* ARABIC </w:instrText>
      </w:r>
      <w:r>
        <w:rPr/>
        <w:fldChar w:fldCharType="separate"/>
      </w:r>
      <w:r>
        <w:rPr/>
        <w:t>32</w:t>
      </w:r>
      <w:r>
        <w:rPr/>
        <w:fldChar w:fldCharType="end"/>
      </w:r>
      <w:bookmarkEnd w:id="174"/>
      <w:r>
        <w:rPr/>
        <w:t xml:space="preserve"> – Сведения о фактическом и ожидаемом поступлении сточных вод в ЦС ВО в эксплуатационных зонах ООО «БелГОС», ООО «Водоснабжение» и ООО «ЭК»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45"/>
        <w:gridCol w:w="2158"/>
        <w:gridCol w:w="944"/>
        <w:gridCol w:w="724"/>
        <w:gridCol w:w="723"/>
        <w:gridCol w:w="724"/>
        <w:gridCol w:w="722"/>
        <w:gridCol w:w="724"/>
        <w:gridCol w:w="725"/>
        <w:gridCol w:w="722"/>
        <w:gridCol w:w="724"/>
        <w:gridCol w:w="723"/>
        <w:gridCol w:w="721"/>
        <w:gridCol w:w="723"/>
        <w:gridCol w:w="723"/>
        <w:gridCol w:w="722"/>
        <w:gridCol w:w="723"/>
        <w:gridCol w:w="696"/>
      </w:tblGrid>
      <w:tr>
        <w:trPr>
          <w:tblHeader w:val="true"/>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215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7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72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2023</w:t>
            </w:r>
          </w:p>
        </w:tc>
        <w:tc>
          <w:tcPr>
            <w:tcW w:w="7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2024</w:t>
            </w:r>
          </w:p>
        </w:tc>
        <w:tc>
          <w:tcPr>
            <w:tcW w:w="72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2025</w:t>
            </w:r>
          </w:p>
        </w:tc>
        <w:tc>
          <w:tcPr>
            <w:tcW w:w="7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2026</w:t>
            </w:r>
          </w:p>
        </w:tc>
        <w:tc>
          <w:tcPr>
            <w:tcW w:w="72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2027</w:t>
            </w:r>
          </w:p>
        </w:tc>
        <w:tc>
          <w:tcPr>
            <w:tcW w:w="72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2028</w:t>
            </w:r>
          </w:p>
        </w:tc>
        <w:tc>
          <w:tcPr>
            <w:tcW w:w="7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2029</w:t>
            </w:r>
          </w:p>
        </w:tc>
        <w:tc>
          <w:tcPr>
            <w:tcW w:w="72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2030</w:t>
            </w:r>
          </w:p>
        </w:tc>
        <w:tc>
          <w:tcPr>
            <w:tcW w:w="72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2031</w:t>
            </w:r>
          </w:p>
        </w:tc>
        <w:tc>
          <w:tcPr>
            <w:tcW w:w="72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2032</w:t>
            </w:r>
          </w:p>
        </w:tc>
        <w:tc>
          <w:tcPr>
            <w:tcW w:w="72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2033</w:t>
            </w:r>
          </w:p>
        </w:tc>
        <w:tc>
          <w:tcPr>
            <w:tcW w:w="72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2034</w:t>
            </w:r>
          </w:p>
        </w:tc>
        <w:tc>
          <w:tcPr>
            <w:tcW w:w="72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2035</w:t>
            </w:r>
          </w:p>
        </w:tc>
        <w:tc>
          <w:tcPr>
            <w:tcW w:w="69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2036</w:t>
            </w:r>
          </w:p>
        </w:tc>
      </w:tr>
      <w:tr>
        <w:trPr>
          <w:tblHeader w:val="true"/>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215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«БелГОС»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8956,40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8886,97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8824,62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8764,74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8732,90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8701,06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8669,22</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8637,39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8605,55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8573,71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8541,87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8510,04</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8478,20</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8956,40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8886,97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8824,62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8764,74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8732,90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8701,06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8669,22</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8637,39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8605,55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8573,71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8541,87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8510,04</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8478,20</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25,50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24,52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24,33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24,16</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24,00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23,91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23,74</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23,65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23,56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23,47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23,30</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23,21</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1.2.3</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30,47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30,60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30,39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28,99</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28,80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28,48</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28,38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28,17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28,06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27,96</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27,85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16,83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17,87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18,10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18,31</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18,50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18,61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18,82</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18,92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19,03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19,13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19,24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19,34</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19,45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166%</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168%</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170%</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«Водоснабжение»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932,86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925,63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919,13</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912,90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909,58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906,27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902,95</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899,63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896,32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893,00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889,68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886,37</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883,05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932,86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925,63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919,13</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912,90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909,58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906,27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902,95</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899,63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896,32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893,00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889,68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886,37</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883,05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2,55</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2,47</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2,43</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2,42</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2.2.3</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1,20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2,97</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2,91</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3,93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4,08</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4,13</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2,06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2,07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2,08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2,09</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2,10</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213%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235%</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239%</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172%</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172%</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«ЭК»</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 в т.ч.:</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1170,64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1047,48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1059,50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1055,17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1051,28</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1047,55</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1045,56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1043,58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1041,59</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1039,60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1037,62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1035,63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1033,65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1031,66</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1029,68</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населения</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593,93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609,26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576,84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558,56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554,23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550,35</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546,61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544,63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542,64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540,66</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538,67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536,68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534,70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532,71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530,73</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528,74</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3.1.1.2</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прочих абонентов</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279,28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372,97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282,37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3.1.1.3</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собственные нужды</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26,88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22,93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26,45</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3.1.1.4</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хоз. нужды предприятия</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164,63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165,48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161,82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3.1.1.5</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неучтенный приток сточных вод</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3.1.2</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1170,64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1047,48</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1059,50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1055,17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1051,28</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1047,55</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1045,56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1043,58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1041,59</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1039,60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1037,62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1035,63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1033,65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1031,66</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1029,68</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3.2.1</w:t>
            </w:r>
          </w:p>
        </w:tc>
        <w:tc>
          <w:tcPr>
            <w:tcW w:w="21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w:t>
            </w:r>
          </w:p>
        </w:tc>
      </w:tr>
      <w:tr>
        <w:trPr>
          <w:trHeight w:val="20" w:hRule="atLeast"/>
        </w:trPr>
        <w:tc>
          <w:tcPr>
            <w:tcW w:w="6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3.2.2</w:t>
            </w:r>
          </w:p>
        </w:tc>
        <w:tc>
          <w:tcPr>
            <w:tcW w:w="215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3,21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2,88</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2,87</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3.2.3</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3,85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3,48</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3,47</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3,45</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3,42</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3,42</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3,41</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3,39</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3,38</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6,60</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6,25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6,62</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6,65</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6,67</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6,68</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6,68</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0,09</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0,10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0,10</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0,11</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0,12</w:t>
            </w:r>
          </w:p>
        </w:tc>
      </w:tr>
      <w:tr>
        <w:trPr>
          <w:trHeight w:val="20" w:hRule="atLeast"/>
        </w:trPr>
        <w:tc>
          <w:tcPr>
            <w:tcW w:w="64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3.2.4.1</w:t>
            </w:r>
          </w:p>
        </w:tc>
        <w:tc>
          <w:tcPr>
            <w:tcW w:w="21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291%</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7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w:t>
            </w:r>
          </w:p>
        </w:tc>
        <w:tc>
          <w:tcPr>
            <w:tcW w:w="7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295%</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295%</w:t>
            </w:r>
          </w:p>
        </w:tc>
        <w:tc>
          <w:tcPr>
            <w:tcW w:w="7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296%</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w:t>
            </w:r>
          </w:p>
        </w:tc>
        <w:tc>
          <w:tcPr>
            <w:tcW w:w="7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w:t>
            </w:r>
          </w:p>
        </w:tc>
        <w:tc>
          <w:tcPr>
            <w:tcW w:w="7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w:t>
            </w:r>
          </w:p>
        </w:tc>
        <w:tc>
          <w:tcPr>
            <w:tcW w:w="6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w:t>
            </w:r>
          </w:p>
        </w:tc>
      </w:tr>
    </w:tbl>
    <w:p>
      <w:pPr>
        <w:sectPr>
          <w:footerReference w:type="default" r:id="rId74"/>
          <w:footerReference w:type="first" r:id="rId75"/>
          <w:type w:val="nextPage"/>
          <w:pgSz w:orient="landscape" w:w="16838" w:h="11906"/>
          <w:pgMar w:left="1134" w:right="1134" w:gutter="0" w:header="0" w:top="1701" w:footer="709" w:bottom="851"/>
          <w:pgNumType w:fmt="decimal"/>
          <w:formProt w:val="false"/>
          <w:textDirection w:val="lrTb"/>
          <w:docGrid w:type="default" w:linePitch="360" w:charSpace="0"/>
        </w:sectPr>
      </w:pPr>
    </w:p>
    <w:p>
      <w:pPr>
        <w:pStyle w:val="Normal"/>
        <w:rPr/>
      </w:pPr>
      <w:r>
        <w:rPr/>
        <w:t xml:space="preserve">Диаграмма перспективного поступления сточных вод в ЦС ВО в эксплуатационных зонах ООО «ЭК», ООО «БелГОС» и ООО «Водоснабжение» на территории Беловского ГО в 2036 году приведена на рисунке ниже. </w:t>
      </w:r>
    </w:p>
    <w:p>
      <w:pPr>
        <w:pStyle w:val="Style26"/>
        <w:rPr/>
      </w:pPr>
      <w:r>
        <w:rPr/>
        <w:drawing>
          <wp:inline distT="0" distB="0" distL="0" distR="0">
            <wp:extent cx="5949950" cy="2926080"/>
            <wp:effectExtent l="0" t="0" r="0" b="0"/>
            <wp:docPr id="42"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3" descr=""/>
                    <pic:cNvPicPr>
                      <a:picLocks noChangeAspect="1" noChangeArrowheads="1"/>
                    </pic:cNvPicPr>
                  </pic:nvPicPr>
                  <pic:blipFill>
                    <a:blip r:embed="rId76"/>
                    <a:stretch>
                      <a:fillRect/>
                    </a:stretch>
                  </pic:blipFill>
                  <pic:spPr bwMode="auto">
                    <a:xfrm>
                      <a:off x="0" y="0"/>
                      <a:ext cx="5949950" cy="2926080"/>
                    </a:xfrm>
                    <a:prstGeom prst="rect">
                      <a:avLst/>
                    </a:prstGeom>
                  </pic:spPr>
                </pic:pic>
              </a:graphicData>
            </a:graphic>
          </wp:inline>
        </w:drawing>
      </w:r>
    </w:p>
    <w:p>
      <w:pPr>
        <w:pStyle w:val="Caption"/>
        <w:rPr/>
      </w:pPr>
      <w:r>
        <w:rPr/>
        <w:t xml:space="preserve">Рисунок </w:t>
      </w:r>
      <w:r>
        <w:fldChar w:fldCharType="begin"/>
      </w:r>
      <w:r>
        <w:rPr/>
        <w:instrText xml:space="preserve">STYLEREF 2 \s</w:instrText>
      </w:r>
      <w:r>
        <w:rPr/>
      </w:r>
      <w:r>
        <w:rPr/>
        <w:fldChar w:fldCharType="separate"/>
      </w:r>
      <w:r>
        <w:rPr/>
        <w:t>2.3</w:t>
      </w:r>
      <w:r>
        <w:rPr/>
      </w:r>
      <w:r>
        <w:rPr/>
        <w:fldChar w:fldCharType="end"/>
      </w:r>
      <w:r>
        <w:rPr/>
        <w:t>.</w:t>
      </w:r>
      <w:r>
        <w:rPr/>
        <w:fldChar w:fldCharType="begin"/>
      </w:r>
      <w:r>
        <w:rPr/>
        <w:instrText xml:space="preserve"> SEQ Рисунок \* ARABIC </w:instrText>
      </w:r>
      <w:r>
        <w:rPr/>
        <w:fldChar w:fldCharType="separate"/>
      </w:r>
      <w:r>
        <w:rPr/>
        <w:t>40</w:t>
      </w:r>
      <w:r>
        <w:rPr/>
        <w:fldChar w:fldCharType="end"/>
      </w:r>
      <w:r>
        <w:rPr/>
        <w:t xml:space="preserve"> – Диаграмма перспективного поступления сточных вод в ЦС ВО в эксплуатационных зонах ООО «ЭК», ООО «БелГОС» и ООО «Водоснабжение» на территории Беловского ГО в 2036 году</w:t>
      </w:r>
    </w:p>
    <w:p>
      <w:pPr>
        <w:pStyle w:val="3"/>
        <w:rPr/>
      </w:pPr>
      <w:bookmarkStart w:id="175" w:name="_Toc158814627"/>
      <w:r>
        <w:rPr/>
        <w:t>Описание структуры централизованной системы водоотведения (эксплуатационные и технологические зоны)</w:t>
      </w:r>
      <w:bookmarkEnd w:id="175"/>
    </w:p>
    <w:p>
      <w:pPr>
        <w:pStyle w:val="Normal"/>
        <w:rPr/>
      </w:pPr>
      <w:r>
        <w:rPr/>
        <w:t>Описание структуры ЦС ВО, действующих на территории Беловского ГО приведено выше в подразделе 2.1.1, технологических зон – в подразделе 2.1.3.</w:t>
      </w:r>
    </w:p>
    <w:p>
      <w:pPr>
        <w:pStyle w:val="3"/>
        <w:rPr/>
      </w:pPr>
      <w:bookmarkStart w:id="176" w:name="_Toc158814628"/>
      <w:r>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bookmarkEnd w:id="176"/>
    </w:p>
    <w:p>
      <w:pPr>
        <w:pStyle w:val="Normal"/>
        <w:rPr/>
      </w:pPr>
      <w:r>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 по ЦС ВО Беловского ГО приведен выше в подразделе 2.3.1.</w:t>
      </w:r>
    </w:p>
    <w:p>
      <w:pPr>
        <w:pStyle w:val="3"/>
        <w:rPr/>
      </w:pPr>
      <w:bookmarkStart w:id="177" w:name="_Toc158814629"/>
      <w:r>
        <w:rPr/>
        <w:t>Результаты анализа гидравлических режимов и режимов работы элементов централизованной системы водоотведения</w:t>
      </w:r>
      <w:bookmarkEnd w:id="177"/>
    </w:p>
    <w:p>
      <w:pPr>
        <w:pStyle w:val="Normal"/>
        <w:rPr/>
      </w:pPr>
      <w:r>
        <w:rPr/>
        <w:t>Результаты анализа гидравлических режимов и режимов работы элементов ЦС ВО МО Беловского ГО содержатся в составе электронной гидравлической модели системы централизованного водоснабжения и водоотведения Беловского ГО.</w:t>
      </w:r>
    </w:p>
    <w:p>
      <w:pPr>
        <w:pStyle w:val="3"/>
        <w:rPr/>
      </w:pPr>
      <w:bookmarkStart w:id="178" w:name="_Toc158814630"/>
      <w:r>
        <w:rPr/>
        <w:t>Анализ резервов производственных мощностей очистных сооружений системы водоотведения и возможности расширения зоны их действия</w:t>
      </w:r>
      <w:bookmarkEnd w:id="178"/>
    </w:p>
    <w:p>
      <w:pPr>
        <w:pStyle w:val="Normal"/>
        <w:rPr/>
      </w:pPr>
      <w:r>
        <w:rPr/>
        <w:t>Анализ резервов производственных мощностей очистных сооружений системы водоотведения и возможности расширения зоны их действия по МО г. Усть-Илимск приведен выше в подразделе 2.3.1.</w:t>
      </w:r>
    </w:p>
    <w:p>
      <w:pPr>
        <w:pStyle w:val="2"/>
        <w:rPr/>
      </w:pPr>
      <w:bookmarkStart w:id="179" w:name="_Toc158814631"/>
      <w:r>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79"/>
    </w:p>
    <w:p>
      <w:pPr>
        <w:pStyle w:val="3"/>
        <w:rPr/>
      </w:pPr>
      <w:bookmarkStart w:id="180" w:name="_Toc158814632"/>
      <w:r>
        <w:rPr/>
        <w:t>Основные направления, принципы, задачи и плановые значения показателей развития централизованной системы водоотведения</w:t>
      </w:r>
      <w:bookmarkEnd w:id="180"/>
    </w:p>
    <w:p>
      <w:pPr>
        <w:pStyle w:val="Normal"/>
        <w:rPr/>
      </w:pPr>
      <w:r>
        <w:rPr/>
        <w:t>В соответствии с пунктом 1 статьи 3 [</w:t>
      </w:r>
      <w:r>
        <w:rPr/>
        <w:fldChar w:fldCharType="begin"/>
      </w:r>
      <w:r>
        <w:rPr/>
        <w:instrText xml:space="preserve"> REF _Ref154925037 \r \h </w:instrText>
      </w:r>
      <w:r>
        <w:rPr/>
        <w:fldChar w:fldCharType="separate"/>
      </w:r>
      <w:r>
        <w:rPr/>
        <w:t>2</w:t>
      </w:r>
      <w:r>
        <w:rPr/>
        <w:fldChar w:fldCharType="end"/>
      </w:r>
      <w:r>
        <w:rPr/>
        <w:t>] государственная политика в сфере водоснабжения и водоотведения направлена на достижение следующих целей:</w:t>
      </w:r>
    </w:p>
    <w:p>
      <w:pPr>
        <w:pStyle w:val="Style31"/>
        <w:numPr>
          <w:ilvl w:val="0"/>
          <w:numId w:val="140"/>
        </w:numPr>
        <w:rPr/>
      </w:pPr>
      <w:r>
        <w:rPr/>
        <w:t>охраны здоровья населения и улучшения качества жизни населения путем обеспечения бесперебойного и качественного водоснабжения и водоотведения;</w:t>
      </w:r>
    </w:p>
    <w:p>
      <w:pPr>
        <w:pStyle w:val="Style31"/>
        <w:numPr>
          <w:ilvl w:val="0"/>
          <w:numId w:val="2"/>
        </w:numPr>
        <w:rPr/>
      </w:pPr>
      <w:r>
        <w:rPr/>
        <w:t>повышения энергетической эффективности путем экономного потребления воды;</w:t>
      </w:r>
    </w:p>
    <w:p>
      <w:pPr>
        <w:pStyle w:val="Style31"/>
        <w:numPr>
          <w:ilvl w:val="0"/>
          <w:numId w:val="2"/>
        </w:numPr>
        <w:rPr/>
      </w:pPr>
      <w:r>
        <w:rPr/>
        <w:t>снижения негативного воздействия на водные объекты путем повышения качества очистки сточных вод;</w:t>
      </w:r>
    </w:p>
    <w:p>
      <w:pPr>
        <w:pStyle w:val="Style31"/>
        <w:numPr>
          <w:ilvl w:val="0"/>
          <w:numId w:val="2"/>
        </w:numPr>
        <w:rPr/>
      </w:pPr>
      <w:r>
        <w:rPr/>
        <w:t>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pPr>
        <w:pStyle w:val="Style31"/>
        <w:numPr>
          <w:ilvl w:val="0"/>
          <w:numId w:val="2"/>
        </w:numPr>
        <w:rPr/>
      </w:pPr>
      <w:r>
        <w:rPr/>
        <w:t>обеспечения развития централизованных систем горячего водоснабжения,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pPr>
        <w:pStyle w:val="Normal"/>
        <w:rPr/>
      </w:pPr>
      <w:r>
        <w:rPr/>
        <w:t>В соответствии с пунктом 2 статьи 3 [</w:t>
      </w:r>
      <w:r>
        <w:rPr/>
        <w:fldChar w:fldCharType="begin"/>
      </w:r>
      <w:r>
        <w:rPr/>
        <w:instrText xml:space="preserve"> REF _Ref154925037 \r \h </w:instrText>
      </w:r>
      <w:r>
        <w:rPr/>
        <w:fldChar w:fldCharType="separate"/>
      </w:r>
      <w:r>
        <w:rPr/>
        <w:t>2</w:t>
      </w:r>
      <w:r>
        <w:rPr/>
        <w:fldChar w:fldCharType="end"/>
      </w:r>
      <w:r>
        <w:rPr/>
        <w:t>] общими принципами государственной политики в сфере водоснабжения и водоотведения являются:</w:t>
      </w:r>
    </w:p>
    <w:p>
      <w:pPr>
        <w:pStyle w:val="Style31"/>
        <w:numPr>
          <w:ilvl w:val="0"/>
          <w:numId w:val="141"/>
        </w:numPr>
        <w:rPr/>
      </w:pPr>
      <w:r>
        <w:rPr/>
        <w:t>приоритетность обеспечения населения питьевой водой, горячей водой и услугами по водоотведению;</w:t>
      </w:r>
    </w:p>
    <w:p>
      <w:pPr>
        <w:pStyle w:val="Style31"/>
        <w:numPr>
          <w:ilvl w:val="0"/>
          <w:numId w:val="2"/>
        </w:numPr>
        <w:rPr/>
      </w:pPr>
      <w:r>
        <w:rPr/>
        <w:t>создание условий для привлечения инвестиций в сферу водоснабжения и водоотведения, обеспечение гарантий возврата частных инвестиций;</w:t>
      </w:r>
    </w:p>
    <w:p>
      <w:pPr>
        <w:pStyle w:val="Style31"/>
        <w:numPr>
          <w:ilvl w:val="0"/>
          <w:numId w:val="2"/>
        </w:numPr>
        <w:rPr/>
      </w:pPr>
      <w:r>
        <w:rPr/>
        <w:t>обеспечение технологического и организационного единства и целостности централизованных систем горячего водоснабжения, холодного водоснабжения и (или) водоотведения;</w:t>
      </w:r>
    </w:p>
    <w:p>
      <w:pPr>
        <w:pStyle w:val="Style31"/>
        <w:numPr>
          <w:ilvl w:val="0"/>
          <w:numId w:val="2"/>
        </w:numPr>
        <w:rPr/>
      </w:pPr>
      <w:r>
        <w:rP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pPr>
        <w:pStyle w:val="Style31"/>
        <w:numPr>
          <w:ilvl w:val="0"/>
          <w:numId w:val="2"/>
        </w:numPr>
        <w:rPr/>
      </w:pPr>
      <w:r>
        <w:rPr/>
        <w:t>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pPr>
        <w:pStyle w:val="Style31"/>
        <w:numPr>
          <w:ilvl w:val="0"/>
          <w:numId w:val="2"/>
        </w:numPr>
        <w:rPr/>
      </w:pPr>
      <w:r>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pPr>
        <w:pStyle w:val="Style31"/>
        <w:numPr>
          <w:ilvl w:val="0"/>
          <w:numId w:val="2"/>
        </w:numPr>
        <w:rPr/>
      </w:pPr>
      <w:r>
        <w:rPr/>
        <w:t>обеспечение равных условий доступа абонентов к водоснабжению и водоотведению;</w:t>
      </w:r>
    </w:p>
    <w:p>
      <w:pPr>
        <w:pStyle w:val="Style31"/>
        <w:numPr>
          <w:ilvl w:val="0"/>
          <w:numId w:val="2"/>
        </w:numPr>
        <w:rPr/>
      </w:pPr>
      <w:r>
        <w:rPr/>
        <w:t>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pPr>
        <w:pStyle w:val="Normal"/>
        <w:rPr/>
      </w:pPr>
      <w:r>
        <w:rPr/>
        <w:t>Исходя из обозначенных целей и принципов государственной политики в сфере водоснабжения и водоотведения, а также в соответствии с пунктом 10 [</w:t>
      </w:r>
      <w:r>
        <w:rPr/>
        <w:fldChar w:fldCharType="begin"/>
      </w:r>
      <w:r>
        <w:rPr/>
        <w:instrText xml:space="preserve"> REF _Ref154925043 \r \h </w:instrText>
      </w:r>
      <w:r>
        <w:rPr/>
        <w:fldChar w:fldCharType="separate"/>
      </w:r>
      <w:r>
        <w:rPr/>
        <w:t>3</w:t>
      </w:r>
      <w:r>
        <w:rPr/>
        <w:fldChar w:fldCharType="end"/>
      </w:r>
      <w:r>
        <w:rPr/>
        <w:t>], в рамках настоящей актуализации Схемы ВСиВО Беловского ГО сформированы следующие основные задачи развития ЦС ВО:</w:t>
      </w:r>
    </w:p>
    <w:p>
      <w:pPr>
        <w:pStyle w:val="Style31"/>
        <w:numPr>
          <w:ilvl w:val="0"/>
          <w:numId w:val="142"/>
        </w:numPr>
        <w:rPr/>
      </w:pPr>
      <w:r>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p>
      <w:pPr>
        <w:pStyle w:val="Style31"/>
        <w:numPr>
          <w:ilvl w:val="0"/>
          <w:numId w:val="2"/>
        </w:numPr>
        <w:rPr/>
      </w:pPr>
      <w:r>
        <w:rPr/>
        <w:t>организация централизованного водоотведения на территориях поселений, городских округов, где оно отсутствует;</w:t>
      </w:r>
    </w:p>
    <w:p>
      <w:pPr>
        <w:pStyle w:val="Style31"/>
        <w:numPr>
          <w:ilvl w:val="0"/>
          <w:numId w:val="2"/>
        </w:numPr>
        <w:rPr/>
      </w:pPr>
      <w:r>
        <w:rPr/>
        <w:t>сокращение сбросов и организация возврата очищенных сточных вод на технические нужды.</w:t>
      </w:r>
    </w:p>
    <w:p>
      <w:pPr>
        <w:pStyle w:val="Normal"/>
        <w:rPr/>
      </w:pPr>
      <w:r>
        <w:rPr/>
        <w:t xml:space="preserve">Для выполнения перечисленных выше задач по развитию ЦС ВО Беловского ГО разработаны мероприятия по строительству, реконструкции и модернизации объектов централизованных ЦС ВО, приведенные ниже в подразделе 2.4.2. </w:t>
      </w:r>
    </w:p>
    <w:p>
      <w:pPr>
        <w:pStyle w:val="Normal"/>
        <w:rPr/>
      </w:pPr>
      <w:r>
        <w:rPr/>
        <w:t xml:space="preserve"> </w:t>
      </w:r>
      <w:r>
        <w:rPr/>
        <w:t>В соответствии с пунктом 2 [</w:t>
      </w:r>
      <w:r>
        <w:rPr/>
        <w:fldChar w:fldCharType="begin"/>
      </w:r>
      <w:r>
        <w:rPr/>
        <w:instrText xml:space="preserve"> REF _Ref154934015 \r \h </w:instrText>
      </w:r>
      <w:r>
        <w:rPr/>
        <w:fldChar w:fldCharType="separate"/>
      </w:r>
      <w:r>
        <w:rPr/>
        <w:t>6</w:t>
      </w:r>
      <w:r>
        <w:rPr/>
        <w:fldChar w:fldCharType="end"/>
      </w:r>
      <w:r>
        <w:rPr/>
        <w:t xml:space="preserve">], к показателям развития централизованных систем горячего водоснабжения, холодного водоснабжения и водоотведения относятся: </w:t>
      </w:r>
    </w:p>
    <w:p>
      <w:pPr>
        <w:pStyle w:val="Style31"/>
        <w:numPr>
          <w:ilvl w:val="0"/>
          <w:numId w:val="143"/>
        </w:numPr>
        <w:rPr/>
      </w:pPr>
      <w:r>
        <w:rPr/>
        <w:t>показатели качества воды (в отношении питьевой воды и горячей воды);</w:t>
      </w:r>
    </w:p>
    <w:p>
      <w:pPr>
        <w:pStyle w:val="Style31"/>
        <w:numPr>
          <w:ilvl w:val="0"/>
          <w:numId w:val="2"/>
        </w:numPr>
        <w:rPr/>
      </w:pPr>
      <w:r>
        <w:rPr/>
        <w:t>показатели надежности и бесперебойности водоснабжения и водоотведения;</w:t>
      </w:r>
    </w:p>
    <w:p>
      <w:pPr>
        <w:pStyle w:val="Style31"/>
        <w:numPr>
          <w:ilvl w:val="0"/>
          <w:numId w:val="2"/>
        </w:numPr>
        <w:rPr/>
      </w:pPr>
      <w:r>
        <w:rPr/>
        <w:t>показатели очистки сточных вод;</w:t>
      </w:r>
    </w:p>
    <w:p>
      <w:pPr>
        <w:pStyle w:val="Style31"/>
        <w:numPr>
          <w:ilvl w:val="0"/>
          <w:numId w:val="2"/>
        </w:numPr>
        <w:rPr/>
      </w:pPr>
      <w:r>
        <w:rPr/>
        <w:t>показатели эффективности использования ресурсов, в том числе уровень потерь воды (тепловой энергии в составе горячей воды).</w:t>
      </w:r>
    </w:p>
    <w:p>
      <w:pPr>
        <w:pStyle w:val="3"/>
        <w:rPr/>
      </w:pPr>
      <w:bookmarkStart w:id="181" w:name="_Toc158814633"/>
      <w:r>
        <w:rPr/>
        <w:t>Перечень основных мероприятий по реализации схем водоотведения с разбивкой по годам, включая технические обоснования этих мероприятий</w:t>
      </w:r>
      <w:bookmarkEnd w:id="181"/>
    </w:p>
    <w:p>
      <w:pPr>
        <w:pStyle w:val="Normal"/>
        <w:rPr/>
      </w:pPr>
      <w:r>
        <w:rPr/>
        <w:t>В ходе актуализации Схемы ВСиВО Беловского ГО до 2036 года рассмотрены различные сценарии развития водоснабжения и водоотведения городского округа.</w:t>
      </w:r>
    </w:p>
    <w:p>
      <w:pPr>
        <w:pStyle w:val="Normal"/>
        <w:rPr/>
      </w:pPr>
      <w:r>
        <w:rPr/>
        <w:t>Сценарии прорабатывались с учетом положений утвержденного генерального плана городского округа.</w:t>
      </w:r>
    </w:p>
    <w:p>
      <w:pPr>
        <w:pStyle w:val="Normal"/>
        <w:rPr/>
      </w:pPr>
      <w:r>
        <w:rPr/>
        <w:t>Учитывая п. 1.4 и п. 2.1, ст. 3 [</w:t>
      </w:r>
      <w:r>
        <w:rPr/>
        <w:fldChar w:fldCharType="begin"/>
      </w:r>
      <w:r>
        <w:rPr/>
        <w:instrText xml:space="preserve"> REF _Ref154925037 \r \h </w:instrText>
      </w:r>
      <w:r>
        <w:rPr/>
        <w:fldChar w:fldCharType="separate"/>
      </w:r>
      <w:r>
        <w:rPr/>
        <w:t>2</w:t>
      </w:r>
      <w:r>
        <w:rPr/>
        <w:fldChar w:fldCharType="end"/>
      </w:r>
      <w:r>
        <w:rPr/>
        <w:t>] к внедрению предлагается сценарий № 1, как обеспечивающий надежность водоотведения потребителей Беловского ГО и отражающий наиболее реалистичный вариант развития городского округа.</w:t>
      </w:r>
    </w:p>
    <w:p>
      <w:pPr>
        <w:pStyle w:val="Normal"/>
        <w:rPr/>
      </w:pPr>
      <w:r>
        <w:rPr/>
        <w:t>В целях реализации схемы водоотведения городского округа согласно сценарию № 1 необходимо выполнить комплекс мероприятий, направленных на обеспечение в полном объеме необходимого резерва мощностей инженерно-технического обеспечения для развития объектов капитального строительства и подключения новых абонентов на территориях существующей и перспективной застройки.</w:t>
      </w:r>
    </w:p>
    <w:p>
      <w:pPr>
        <w:pStyle w:val="Normal"/>
        <w:rPr/>
      </w:pPr>
      <w:r>
        <w:rPr/>
        <w:t>Сценарий № 1 предполагает проведение следующих мероприятий:</w:t>
      </w:r>
    </w:p>
    <w:p>
      <w:pPr>
        <w:pStyle w:val="Style31"/>
        <w:numPr>
          <w:ilvl w:val="0"/>
          <w:numId w:val="144"/>
        </w:numPr>
        <w:spacing w:before="120" w:after="120"/>
        <w:contextualSpacing/>
        <w:rPr/>
      </w:pPr>
      <w:r>
        <w:rPr/>
        <w:t>ликвидация неэффективных, устаревших морально и физически очистных сооружений в период 2025-2030 годов;</w:t>
      </w:r>
    </w:p>
    <w:p>
      <w:pPr>
        <w:pStyle w:val="Style31"/>
        <w:numPr>
          <w:ilvl w:val="0"/>
          <w:numId w:val="145"/>
        </w:numPr>
        <w:spacing w:before="120" w:after="120"/>
        <w:contextualSpacing/>
        <w:rPr/>
      </w:pPr>
      <w:r>
        <w:rPr/>
        <w:t>проектирование и строительство очистных сооружений с современной технологией очистки и доочистки стоков пгт. Новый Городок, мкр. Бабанаково в период 2025-2030 годов;</w:t>
      </w:r>
    </w:p>
    <w:p>
      <w:pPr>
        <w:pStyle w:val="Style31"/>
        <w:numPr>
          <w:ilvl w:val="0"/>
          <w:numId w:val="146"/>
        </w:numPr>
        <w:spacing w:before="120" w:after="120"/>
        <w:contextualSpacing/>
        <w:rPr/>
      </w:pPr>
      <w:r>
        <w:rPr/>
        <w:t>проектирование и строительство очистных сооружений в пгт. Бачатский в период 2025-2030 годов;</w:t>
      </w:r>
    </w:p>
    <w:p>
      <w:pPr>
        <w:pStyle w:val="Style31"/>
        <w:numPr>
          <w:ilvl w:val="0"/>
          <w:numId w:val="147"/>
        </w:numPr>
        <w:spacing w:before="120" w:after="120"/>
        <w:contextualSpacing/>
        <w:rPr/>
      </w:pPr>
      <w:r>
        <w:rPr/>
        <w:t>реконструкция очистных сооружений пгт. Грамотеино в период 2025-2030 годов;</w:t>
      </w:r>
    </w:p>
    <w:p>
      <w:pPr>
        <w:pStyle w:val="Style31"/>
        <w:numPr>
          <w:ilvl w:val="0"/>
          <w:numId w:val="148"/>
        </w:numPr>
        <w:spacing w:before="120" w:after="120"/>
        <w:contextualSpacing/>
        <w:rPr/>
      </w:pPr>
      <w:r>
        <w:rPr/>
        <w:t>реконструкция очистных сооружений пгт. Инской в период 2025-2030 годов;</w:t>
      </w:r>
    </w:p>
    <w:p>
      <w:pPr>
        <w:pStyle w:val="Style31"/>
        <w:numPr>
          <w:ilvl w:val="0"/>
          <w:numId w:val="149"/>
        </w:numPr>
        <w:spacing w:before="120" w:after="120"/>
        <w:contextualSpacing/>
        <w:rPr/>
      </w:pPr>
      <w:r>
        <w:rPr/>
        <w:t>реконструкция очистных сооружений в мкр. Ивушка в период 2025-2030 годов;</w:t>
      </w:r>
    </w:p>
    <w:p>
      <w:pPr>
        <w:pStyle w:val="Style31"/>
        <w:numPr>
          <w:ilvl w:val="0"/>
          <w:numId w:val="150"/>
        </w:numPr>
        <w:spacing w:before="120" w:after="120"/>
        <w:contextualSpacing/>
        <w:rPr/>
      </w:pPr>
      <w:r>
        <w:rPr/>
        <w:t>внедрение систем диспетчеризации, телемеханизации и систем управления режимами водоотведения в период 2025-2030 годов;</w:t>
      </w:r>
    </w:p>
    <w:p>
      <w:pPr>
        <w:pStyle w:val="Style31"/>
        <w:numPr>
          <w:ilvl w:val="0"/>
          <w:numId w:val="151"/>
        </w:numPr>
        <w:spacing w:before="120" w:after="120"/>
        <w:contextualSpacing/>
        <w:rPr/>
      </w:pPr>
      <w:r>
        <w:rPr/>
        <w:t>реконструкция ветхих канализационных сетей и сетей с недостаточной пропускной способностью и строительство новых канализационных сетей в период 2025-2036 годов;</w:t>
      </w:r>
    </w:p>
    <w:p>
      <w:pPr>
        <w:pStyle w:val="Style31"/>
        <w:numPr>
          <w:ilvl w:val="0"/>
          <w:numId w:val="152"/>
        </w:numPr>
        <w:spacing w:before="120" w:after="120"/>
        <w:contextualSpacing/>
        <w:rPr/>
      </w:pPr>
      <w:r>
        <w:rPr/>
        <w:t>строительство канализационного коллектора от приемной камеры до приемной камеры механической очистки (ООО «БелГОС», локальная смета) 2023-2024 годов.</w:t>
      </w:r>
      <w:r>
        <w:rPr>
          <w:vertAlign w:val="superscript"/>
        </w:rPr>
        <w:t>1</w:t>
      </w:r>
      <w:r>
        <w:rPr/>
        <w:t> </w:t>
      </w:r>
    </w:p>
    <w:p>
      <w:pPr>
        <w:pStyle w:val="Style35"/>
        <w:rPr/>
      </w:pPr>
      <w:r>
        <w:rPr/>
        <w:t>Примечание (1) – строительство канализационного коллектора необходимо на случай возникновения аварийной ситуации и для предотвращения затопления приемной камеры и ГНС. Канализационный коллектор предусматривается от приемной камеры перед ГНС до приемной камеры механической очистки в обход ГНС. В случае внезапного отключения электроэнергии на ГНС будет возможность перекачивать сточные воды из приемной камеры до ПК мехочистки. Насос для перекачки подключается от генератора. Так же в случае выхода из строя главного затвора на ГНС стоки сразу перекачиваются на мехрешетку, что дает возможность для ремонта или замены затвора.</w:t>
      </w:r>
    </w:p>
    <w:p>
      <w:pPr>
        <w:pStyle w:val="Normal"/>
        <w:rPr/>
      </w:pPr>
      <w:r>
        <w:rPr/>
        <w:t>Сценарий № 2 предполагает только реконструкцию имеющихся объектов водоотведения (см. Приложение П-3)</w:t>
      </w:r>
    </w:p>
    <w:p>
      <w:pPr>
        <w:pStyle w:val="Normal"/>
        <w:rPr/>
      </w:pPr>
      <w:r>
        <w:rPr/>
        <w:t>Перечень основных мероприятий по реализации Схемы водоотведения Беловского ГО с разбивкой по годам приведен в таблице </w:t>
      </w:r>
      <w:r>
        <w:rPr/>
        <w:fldChar w:fldCharType="begin"/>
      </w:r>
      <w:r>
        <w:rPr/>
        <w:instrText xml:space="preserve"> REF _Ref156960428 \h </w:instrText>
      </w:r>
      <w:r>
        <w:rPr/>
        <w:fldChar w:fldCharType="separate"/>
      </w:r>
      <w:r>
        <w:rPr/>
        <w:t>Таблица 2.4.33</w:t>
      </w:r>
      <w:r>
        <w:rPr/>
        <w:fldChar w:fldCharType="end"/>
      </w:r>
      <w:r>
        <w:rPr/>
        <w:t>.</w:t>
      </w:r>
    </w:p>
    <w:p>
      <w:pPr>
        <w:pStyle w:val="Style34"/>
        <w:rPr/>
      </w:pPr>
      <w:bookmarkStart w:id="182" w:name="_Ref156874182"/>
      <w:bookmarkStart w:id="183" w:name="_Ref156960428"/>
      <w:r>
        <w:rPr/>
        <w:t xml:space="preserve">Таблица </w:t>
      </w:r>
      <w:r>
        <w:fldChar w:fldCharType="begin"/>
      </w:r>
      <w:r>
        <w:rPr/>
        <w:instrText xml:space="preserve">STYLEREF 2 \s</w:instrText>
      </w:r>
      <w:r>
        <w:rPr/>
      </w:r>
      <w:r>
        <w:rPr/>
        <w:fldChar w:fldCharType="separate"/>
      </w:r>
      <w:r>
        <w:rPr/>
        <w:t>2.4</w:t>
      </w:r>
      <w:r>
        <w:rPr/>
      </w:r>
      <w:r>
        <w:rPr/>
        <w:fldChar w:fldCharType="end"/>
      </w:r>
      <w:r>
        <w:rPr/>
        <w:t>.</w:t>
      </w:r>
      <w:r>
        <w:rPr/>
        <w:fldChar w:fldCharType="begin"/>
      </w:r>
      <w:r>
        <w:rPr/>
        <w:instrText xml:space="preserve"> SEQ Таблица \* ARABIC </w:instrText>
      </w:r>
      <w:r>
        <w:rPr/>
        <w:fldChar w:fldCharType="separate"/>
      </w:r>
      <w:r>
        <w:rPr/>
        <w:t>33</w:t>
      </w:r>
      <w:r>
        <w:rPr/>
        <w:fldChar w:fldCharType="end"/>
      </w:r>
      <w:bookmarkEnd w:id="183"/>
      <w:r>
        <w:rPr/>
        <w:t xml:space="preserve"> – Перечень основных мероприятий по реализации Схемы водоотведения Беловского ГО с разбивкой по годам</w:t>
      </w:r>
      <w:bookmarkEnd w:id="182"/>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12"/>
        <w:gridCol w:w="6820"/>
        <w:gridCol w:w="1062"/>
        <w:gridCol w:w="1060"/>
      </w:tblGrid>
      <w:tr>
        <w:trPr>
          <w:tblHeader w:val="true"/>
          <w:trHeight w:val="20" w:hRule="atLeast"/>
        </w:trPr>
        <w:tc>
          <w:tcPr>
            <w:tcW w:w="41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682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2122"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Период реализации, гг.</w:t>
            </w:r>
          </w:p>
        </w:tc>
      </w:tr>
      <w:tr>
        <w:trPr>
          <w:tblHeader w:val="true"/>
          <w:trHeight w:val="470" w:hRule="atLeast"/>
        </w:trPr>
        <w:tc>
          <w:tcPr>
            <w:tcW w:w="4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682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начало</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конец</w:t>
            </w:r>
          </w:p>
        </w:tc>
      </w:tr>
      <w:tr>
        <w:trPr>
          <w:tblHeader w:val="true"/>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Новый Городок</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мкр. Бабанаково</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Бачатский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мкр. Ивушка</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5</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Грамотеино</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6</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Инской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7</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по ул. Тобольская пгт. Инской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8</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Внедрение систем диспетчеризации, телемеханизации и систем управления режимами водоотведения</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9</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Юбилейная</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10</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Железнодорожная</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11</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Чистопольская от КНС-2 ул. Тобольская, пгт. Инской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12</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Колмогоровская, пгт. Грамотеино</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13</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Светлая, пгт. Грамотеино</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14</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Л. Швецовой, пгт. Бачатский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самотечного коллектора для отвода стоков мкр. Финский, в систему канализации пгт. Бачатский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16</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Железнодорожная (от КНС элеватора до ООО «Белсах»)</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17</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Кузбасская от КНС Горсад до ГНС</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18</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Юбилейная (от автовокзала до КНС)</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19</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главного коллектора по ул. Советской</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ул. Новогодняя, 1 до завода СибЭЛКОМ по ул. Розы-Люксембург</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21</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бывшего Цинкзавода до пер. Клубный 1</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22</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канализационных сетей 3-ий микрорайон, около дома № 79</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23</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 xml:space="preserve">Реконструкция канализационного коллектора по ул. Мичурина </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2025</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r>
      <w:tr>
        <w:trPr>
          <w:trHeight w:val="20" w:hRule="atLeast"/>
        </w:trPr>
        <w:tc>
          <w:tcPr>
            <w:tcW w:w="41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24</w:t>
            </w:r>
          </w:p>
        </w:tc>
        <w:tc>
          <w:tcPr>
            <w:tcW w:w="68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(капитальный ремонт) ветхих участков сетей водоотведения (2% от общей протяженности в год)</w:t>
            </w:r>
          </w:p>
        </w:tc>
        <w:tc>
          <w:tcPr>
            <w:tcW w:w="1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2030</w:t>
            </w:r>
          </w:p>
        </w:tc>
        <w:tc>
          <w:tcPr>
            <w:tcW w:w="10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2036</w:t>
            </w:r>
          </w:p>
        </w:tc>
      </w:tr>
    </w:tbl>
    <w:p>
      <w:pPr>
        <w:pStyle w:val="3"/>
        <w:rPr/>
      </w:pPr>
      <w:bookmarkStart w:id="184" w:name="_Toc158814634"/>
      <w:r>
        <w:rPr/>
        <w:t>Технические обоснования основных мероприятий по реализации схем водоотведения</w:t>
      </w:r>
      <w:bookmarkEnd w:id="184"/>
    </w:p>
    <w:p>
      <w:pPr>
        <w:pStyle w:val="Normal"/>
        <w:rPr/>
      </w:pPr>
      <w:r>
        <w:rPr/>
        <w:t>Технические обоснования основных мероприятий по реализации Схемы водоотведения Беловского ГО приведены в таблице </w:t>
      </w:r>
      <w:r>
        <w:rPr/>
        <w:fldChar w:fldCharType="begin"/>
      </w:r>
      <w:r>
        <w:rPr/>
        <w:instrText xml:space="preserve"> REF _Ref156874492 \h </w:instrText>
      </w:r>
      <w:r>
        <w:rPr/>
        <w:fldChar w:fldCharType="separate"/>
      </w:r>
      <w:r>
        <w:rPr/>
        <w:t>Таблица 2.4.34</w:t>
      </w:r>
      <w:r>
        <w:rPr/>
        <w:fldChar w:fldCharType="end"/>
      </w:r>
      <w:r>
        <w:rPr/>
        <w:t>.</w:t>
      </w:r>
    </w:p>
    <w:p>
      <w:pPr>
        <w:pStyle w:val="Style34"/>
        <w:rPr/>
      </w:pPr>
      <w:bookmarkStart w:id="185" w:name="_Ref156874492"/>
      <w:r>
        <w:rPr/>
        <w:t xml:space="preserve">Таблица </w:t>
      </w:r>
      <w:r>
        <w:fldChar w:fldCharType="begin"/>
      </w:r>
      <w:r>
        <w:rPr/>
        <w:instrText xml:space="preserve">STYLEREF 2 \s</w:instrText>
      </w:r>
      <w:r>
        <w:rPr/>
      </w:r>
      <w:r>
        <w:rPr/>
        <w:fldChar w:fldCharType="separate"/>
      </w:r>
      <w:r>
        <w:rPr/>
        <w:t>2.4</w:t>
      </w:r>
      <w:r>
        <w:rPr/>
      </w:r>
      <w:r>
        <w:rPr/>
        <w:fldChar w:fldCharType="end"/>
      </w:r>
      <w:r>
        <w:rPr/>
        <w:t>.</w:t>
      </w:r>
      <w:r>
        <w:rPr/>
        <w:fldChar w:fldCharType="begin"/>
      </w:r>
      <w:r>
        <w:rPr/>
        <w:instrText xml:space="preserve"> SEQ Таблица \* ARABIC </w:instrText>
      </w:r>
      <w:r>
        <w:rPr/>
        <w:fldChar w:fldCharType="separate"/>
      </w:r>
      <w:r>
        <w:rPr/>
        <w:t>34</w:t>
      </w:r>
      <w:r>
        <w:rPr/>
        <w:fldChar w:fldCharType="end"/>
      </w:r>
      <w:bookmarkEnd w:id="185"/>
      <w:r>
        <w:rPr/>
        <w:t xml:space="preserve"> – Технические обоснования основных мероприятий по реализации Схемы водоотведения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34"/>
        <w:gridCol w:w="3859"/>
        <w:gridCol w:w="5062"/>
      </w:tblGrid>
      <w:tr>
        <w:trPr>
          <w:tblHeader w:val="true"/>
          <w:trHeight w:val="47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Техническое обоснование</w:t>
            </w:r>
          </w:p>
        </w:tc>
      </w:tr>
      <w:tr>
        <w:trPr>
          <w:tblHeader w:val="true"/>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Новый Городок</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Организация централизованного водоотведения на территориях поселений, городских округов, где оно отсутствует</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мкр. Бабанаково</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Организация централизованного водоотведения на территориях поселений, городских округов, где оно отсутствует</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Бачатский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Организация централизованного водоотведения на территориях поселений, городских округов, где оно отсутствует</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мкр. Ивушка</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Организация централизованного водоотведения на территориях поселений, городских округов, где оно отсутствует</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5</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Грамотеино</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6</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Инской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7</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по ул. Тобольская пгт. Инской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8</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Внедрение систем диспетчеризации, телемеханизации и систем управления режимами водоотведения</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9</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Юбилейная</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10</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Железнодорожная</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11</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Чистопольская от КНС-2 ул. Тобольская, пгт. Инской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12</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Колмогоровская, пгт. Грамотеино</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13</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Светлая, пгт. Грамотеино</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14</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Л. Швецовой, пгт. Бачатский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самотечного коллектора для отвода стоков мкр. Финский, в систему канализации пгт. Бачатский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Организация централизованного водоотведения на территориях поселений, городских округов, где оно отсутствует</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16</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Железнодорожная (от КНС элеватора до ООО «Белсах»)</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17</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Кузбасская от КНС Горсад до ГНС</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18</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Юбилейная (от автовокзала до КНС)</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19</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главного коллектора по ул. Советской</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ул. Новогодняя, 1 до завода СибЭЛКОМ по ул. Розы-Люксембург</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21</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бывшего Цинкзавода до пер. Клубный 1</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22</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канализационных сетей 3-ий микрорайон, около дома № 79</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23</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 xml:space="preserve">Реконструкция канализационного коллектора по ул. Мичурина </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r>
        <w:trPr>
          <w:trHeight w:val="20" w:hRule="atLeast"/>
        </w:trPr>
        <w:tc>
          <w:tcPr>
            <w:tcW w:w="4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24</w:t>
            </w:r>
          </w:p>
        </w:tc>
        <w:tc>
          <w:tcPr>
            <w:tcW w:w="38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(капитальный ремонт) ветхих участков сетей водоотведения (2% от общей протяженности в год)</w:t>
            </w:r>
          </w:p>
        </w:tc>
        <w:tc>
          <w:tcPr>
            <w:tcW w:w="506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r>
    </w:tbl>
    <w:p>
      <w:pPr>
        <w:pStyle w:val="3"/>
        <w:rPr/>
      </w:pPr>
      <w:bookmarkStart w:id="186" w:name="_Toc158814635"/>
      <w:r>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186"/>
    </w:p>
    <w:p>
      <w:pPr>
        <w:pStyle w:val="Normal"/>
        <w:rPr/>
      </w:pPr>
      <w:r>
        <w:rPr/>
        <w:t>Сведения о вновь строящихся, реконструируемых и предлагаемых к выводу из эксплуатации объектах ЦС ВО Беловского ГО представлены в таблице </w:t>
      </w:r>
      <w:r>
        <w:rPr/>
        <w:fldChar w:fldCharType="begin"/>
      </w:r>
      <w:r>
        <w:rPr/>
        <w:instrText xml:space="preserve"> REF _Ref156874794 \h </w:instrText>
      </w:r>
      <w:r>
        <w:rPr/>
        <w:fldChar w:fldCharType="separate"/>
      </w:r>
      <w:r>
        <w:rPr/>
        <w:t>Таблица 2.4.35</w:t>
      </w:r>
      <w:r>
        <w:rPr/>
        <w:fldChar w:fldCharType="end"/>
      </w:r>
      <w:r>
        <w:rPr/>
        <w:t>.</w:t>
      </w:r>
    </w:p>
    <w:p>
      <w:pPr>
        <w:pStyle w:val="Style34"/>
        <w:rPr/>
      </w:pPr>
      <w:bookmarkStart w:id="187" w:name="_Ref156874794"/>
      <w:r>
        <w:rPr/>
        <w:t xml:space="preserve">Таблица </w:t>
      </w:r>
      <w:r>
        <w:fldChar w:fldCharType="begin"/>
      </w:r>
      <w:r>
        <w:rPr/>
        <w:instrText xml:space="preserve">STYLEREF 2 \s</w:instrText>
      </w:r>
      <w:r>
        <w:rPr/>
      </w:r>
      <w:r>
        <w:rPr/>
        <w:fldChar w:fldCharType="separate"/>
      </w:r>
      <w:r>
        <w:rPr/>
        <w:t>2.4</w:t>
      </w:r>
      <w:r>
        <w:rPr/>
      </w:r>
      <w:r>
        <w:rPr/>
        <w:fldChar w:fldCharType="end"/>
      </w:r>
      <w:r>
        <w:rPr/>
        <w:t>.</w:t>
      </w:r>
      <w:r>
        <w:rPr/>
        <w:fldChar w:fldCharType="begin"/>
      </w:r>
      <w:r>
        <w:rPr/>
        <w:instrText xml:space="preserve"> SEQ Таблица \* ARABIC </w:instrText>
      </w:r>
      <w:r>
        <w:rPr/>
        <w:fldChar w:fldCharType="separate"/>
      </w:r>
      <w:r>
        <w:rPr/>
        <w:t>35</w:t>
      </w:r>
      <w:r>
        <w:rPr/>
        <w:fldChar w:fldCharType="end"/>
      </w:r>
      <w:bookmarkEnd w:id="187"/>
      <w:r>
        <w:rPr/>
        <w:t xml:space="preserve"> – Сведения о вновь строящихся, реконструируемых и предлагаемых к выводу из эксплуатации объектах ЦС ВО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51"/>
        <w:gridCol w:w="4892"/>
        <w:gridCol w:w="937"/>
        <w:gridCol w:w="937"/>
        <w:gridCol w:w="679"/>
        <w:gridCol w:w="681"/>
        <w:gridCol w:w="677"/>
      </w:tblGrid>
      <w:tr>
        <w:trPr>
          <w:tblHeader w:val="true"/>
          <w:trHeight w:val="20" w:hRule="atLeast"/>
        </w:trPr>
        <w:tc>
          <w:tcPr>
            <w:tcW w:w="5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489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мероприятия</w:t>
            </w:r>
          </w:p>
        </w:tc>
        <w:tc>
          <w:tcPr>
            <w:tcW w:w="3911"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Основные технические характеристики объекта по результатам реализации мероприятия</w:t>
            </w:r>
          </w:p>
        </w:tc>
      </w:tr>
      <w:tr>
        <w:trPr>
          <w:tblHeader w:val="true"/>
          <w:trHeight w:val="20" w:hRule="atLeast"/>
        </w:trPr>
        <w:tc>
          <w:tcPr>
            <w:tcW w:w="5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8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1874"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канализационные сети</w:t>
            </w:r>
          </w:p>
        </w:tc>
        <w:tc>
          <w:tcPr>
            <w:tcW w:w="2037"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прочие объекты</w:t>
            </w:r>
          </w:p>
        </w:tc>
      </w:tr>
      <w:tr>
        <w:trPr>
          <w:tblHeader w:val="true"/>
          <w:trHeight w:val="587" w:hRule="atLeast"/>
        </w:trPr>
        <w:tc>
          <w:tcPr>
            <w:tcW w:w="5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48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r>
          </w:p>
        </w:tc>
        <w:tc>
          <w:tcPr>
            <w:tcW w:w="937" w:type="dxa"/>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L, м</w:t>
            </w:r>
          </w:p>
        </w:tc>
        <w:tc>
          <w:tcPr>
            <w:tcW w:w="937" w:type="dxa"/>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Dу, мм</w:t>
            </w:r>
          </w:p>
        </w:tc>
        <w:tc>
          <w:tcPr>
            <w:tcW w:w="679" w:type="dxa"/>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КОС, м³/сут</w:t>
            </w:r>
          </w:p>
        </w:tc>
        <w:tc>
          <w:tcPr>
            <w:tcW w:w="681" w:type="dxa"/>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КНС, м³/ч</w:t>
            </w:r>
          </w:p>
        </w:tc>
        <w:tc>
          <w:tcPr>
            <w:tcW w:w="677" w:type="dxa"/>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иное</w:t>
            </w:r>
          </w:p>
        </w:tc>
      </w:tr>
      <w:tr>
        <w:trPr>
          <w:tblHeader w:val="true"/>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Новый Городок</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3200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мкр. Бабанаково</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1800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КОС в пгт. Бачатский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3500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мкр. Ивушка</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 </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 </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1100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 </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 </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5</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Грамотеино</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без. изм.</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6</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КОС в пгт. Инской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без. изм.</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7</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по ул. Тобольская пгт. Инской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65</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8</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Внедрение систем диспетчеризации, телемеханизации и систем управления режимами водоотведения</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9</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Юбилейная</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180</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10</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КНС ул. Железнодорожная</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200</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11</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Чистопольская от КНС-2 ул. Тобольская, пгт. Инской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250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90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12</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Колмогоровская, пгт. Грамотеино</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2 350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150-200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13</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Светлая, пгт. Грамотеино</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2 766</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150-300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14</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Л. Швецовой, пгт. Бачатский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550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Строительство самотечного коллектора для отвода стоков мкр. Финский, в систему канализации пгт. Бачатский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720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16</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Железнодорожная (от КНС элеватора до ООО «Белсах»)</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1 000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300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17</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напорного коллектора по ул. Кузбасская от КНС Горсад до ГНС</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1 700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18</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по ул. Юбилейная (от автовокзала до КНС)</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270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19</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главного коллектора по ул. Советской</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1 730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250-350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ул. Новогодняя, 1 до завода СибЭЛКОМ по ул. Розы-Люксембург</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500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21</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канализационного коллектора от бывшего Цинкзавода до пер. Клубный 1</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460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150-200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22</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канализационных сетей 3-ий микрорайон, около дома № 79</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170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160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23</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 xml:space="preserve">Реконструкция канализационного коллектора по ул. Мичурина </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450</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200</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r>
        <w:trPr>
          <w:trHeight w:val="20" w:hRule="atLeast"/>
        </w:trPr>
        <w:tc>
          <w:tcPr>
            <w:tcW w:w="5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color w:val="000000"/>
                <w:sz w:val="20"/>
                <w:szCs w:val="20"/>
              </w:rPr>
            </w:pPr>
            <w:r>
              <w:rPr>
                <w:color w:val="000000"/>
                <w:sz w:val="20"/>
                <w:szCs w:val="20"/>
              </w:rPr>
              <w:t>24</w:t>
            </w:r>
          </w:p>
        </w:tc>
        <w:tc>
          <w:tcPr>
            <w:tcW w:w="48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color w:val="000000"/>
                <w:sz w:val="20"/>
                <w:szCs w:val="20"/>
              </w:rPr>
              <w:t>Реконструкция (капитальный ремонт) ветхих участков сетей водоотведения (2% от общей протяженности в год)</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29 506</w:t>
            </w:r>
          </w:p>
        </w:tc>
        <w:tc>
          <w:tcPr>
            <w:tcW w:w="9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без. изм.</w:t>
            </w:r>
          </w:p>
        </w:tc>
        <w:tc>
          <w:tcPr>
            <w:tcW w:w="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c>
          <w:tcPr>
            <w:tcW w:w="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color w:val="000000"/>
                <w:sz w:val="20"/>
                <w:szCs w:val="20"/>
              </w:rPr>
              <w:t>-</w:t>
            </w:r>
          </w:p>
        </w:tc>
      </w:tr>
    </w:tbl>
    <w:p>
      <w:pPr>
        <w:pStyle w:val="3"/>
        <w:rPr/>
      </w:pPr>
      <w:bookmarkStart w:id="188" w:name="_Toc158814636"/>
      <w:r>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8"/>
    </w:p>
    <w:p>
      <w:pPr>
        <w:pStyle w:val="Normal"/>
        <w:rPr/>
      </w:pPr>
      <w:r>
        <w:rPr/>
        <w:t>К числу основных особенностей ЦС ВО, как целого комплекса объектов автоматизации, относятся:</w:t>
      </w:r>
    </w:p>
    <w:p>
      <w:pPr>
        <w:pStyle w:val="Style31"/>
        <w:numPr>
          <w:ilvl w:val="0"/>
          <w:numId w:val="153"/>
        </w:numPr>
        <w:rPr/>
      </w:pPr>
      <w:r>
        <w:rPr/>
        <w:t>высокая степень ответственности работы сооружений, требующая обеспечения их надежной и бесперебойной работы;</w:t>
      </w:r>
    </w:p>
    <w:p>
      <w:pPr>
        <w:pStyle w:val="Style31"/>
        <w:numPr>
          <w:ilvl w:val="0"/>
          <w:numId w:val="2"/>
        </w:numPr>
        <w:rPr/>
      </w:pPr>
      <w:r>
        <w:rPr/>
        <w:t>работа сооружений в условиях постоянно меняющейся нагрузки;</w:t>
      </w:r>
    </w:p>
    <w:p>
      <w:pPr>
        <w:pStyle w:val="Style31"/>
        <w:numPr>
          <w:ilvl w:val="0"/>
          <w:numId w:val="2"/>
        </w:numPr>
        <w:rPr/>
      </w:pPr>
      <w:r>
        <w:rPr/>
        <w:t>зависимость режима работы сооружений от изменения состава сточных вод;</w:t>
      </w:r>
    </w:p>
    <w:p>
      <w:pPr>
        <w:pStyle w:val="Style31"/>
        <w:numPr>
          <w:ilvl w:val="0"/>
          <w:numId w:val="2"/>
        </w:numPr>
        <w:rPr/>
      </w:pPr>
      <w:r>
        <w:rPr/>
        <w:t>сложность технологического процесса и необходимость обеспечения высокого качества очистки сточных вод;</w:t>
      </w:r>
    </w:p>
    <w:p>
      <w:pPr>
        <w:pStyle w:val="Style31"/>
        <w:numPr>
          <w:ilvl w:val="0"/>
          <w:numId w:val="2"/>
        </w:numPr>
        <w:rPr/>
      </w:pPr>
      <w:r>
        <w:rPr/>
        <w:t>необходимость сохранения работоспособности при авариях на отдельных участках канализационных сетей;</w:t>
      </w:r>
    </w:p>
    <w:p>
      <w:pPr>
        <w:pStyle w:val="Style31"/>
        <w:numPr>
          <w:ilvl w:val="0"/>
          <w:numId w:val="2"/>
        </w:numPr>
        <w:rPr/>
      </w:pPr>
      <w:r>
        <w:rPr/>
        <w:t>значительная инерционность ряда технологических процессов, большое запаздывание в изменении показателей очистки сточных вод в ответ на управляющее воздействие.</w:t>
      </w:r>
    </w:p>
    <w:p>
      <w:pPr>
        <w:pStyle w:val="Normal"/>
        <w:rPr/>
      </w:pPr>
      <w:r>
        <w:rPr/>
        <w:t>Задачи автоматизации процессов транспортировки и очистки сточных вод в основном состоят в следующем:</w:t>
      </w:r>
    </w:p>
    <w:p>
      <w:pPr>
        <w:pStyle w:val="Style31"/>
        <w:numPr>
          <w:ilvl w:val="0"/>
          <w:numId w:val="154"/>
        </w:numPr>
        <w:rPr/>
      </w:pPr>
      <w:r>
        <w:rPr/>
        <w:t>создание оптимальных условий работы отдельных сооружений, интенсификации всего процесса очистки;</w:t>
      </w:r>
    </w:p>
    <w:p>
      <w:pPr>
        <w:pStyle w:val="Style31"/>
        <w:numPr>
          <w:ilvl w:val="0"/>
          <w:numId w:val="2"/>
        </w:numPr>
        <w:rPr/>
      </w:pPr>
      <w:r>
        <w:rPr/>
        <w:t>улучшение технологического контроля за работой отдельных элементов ЦС ВО и ходом процесса очистки в целом;</w:t>
      </w:r>
    </w:p>
    <w:p>
      <w:pPr>
        <w:pStyle w:val="Style31"/>
        <w:numPr>
          <w:ilvl w:val="0"/>
          <w:numId w:val="2"/>
        </w:numPr>
        <w:rPr/>
      </w:pPr>
      <w:r>
        <w:rPr/>
        <w:t>улучшение условий труда эксплуатационного персонала с одновременным сокращением штатов обслуживающего персонала;</w:t>
      </w:r>
    </w:p>
    <w:p>
      <w:pPr>
        <w:pStyle w:val="Style31"/>
        <w:numPr>
          <w:ilvl w:val="0"/>
          <w:numId w:val="2"/>
        </w:numPr>
        <w:rPr/>
      </w:pPr>
      <w:r>
        <w:rPr/>
        <w:t>уменьшение себестоимости очистки сточных вод при соблюдении соответствия стоков действующим нормам.</w:t>
      </w:r>
    </w:p>
    <w:p>
      <w:pPr>
        <w:pStyle w:val="Normal"/>
        <w:rPr/>
      </w:pPr>
      <w:r>
        <w:rPr/>
        <w:t>На реконструируемых и вновь строящихся КОС предлагается предусматривать комплексную автоматизацию, включающую в себя как технологическую часть, так и управление инженерными системами объекта (вентиляция, отопление), в т.ч.:</w:t>
      </w:r>
    </w:p>
    <w:p>
      <w:pPr>
        <w:pStyle w:val="Style31"/>
        <w:numPr>
          <w:ilvl w:val="0"/>
          <w:numId w:val="155"/>
        </w:numPr>
        <w:rPr/>
      </w:pPr>
      <w:r>
        <w:rPr/>
        <w:t>работа приемных решеток должна быть автоматизирована по определенному алгоритму;</w:t>
      </w:r>
    </w:p>
    <w:p>
      <w:pPr>
        <w:pStyle w:val="Style31"/>
        <w:numPr>
          <w:ilvl w:val="0"/>
          <w:numId w:val="2"/>
        </w:numPr>
        <w:rPr/>
      </w:pPr>
      <w:r>
        <w:rPr/>
        <w:t>биологическая очистка должна быть автоматизирована с поддержанием диктующих параметров по заданному алгоритму;</w:t>
      </w:r>
    </w:p>
    <w:p>
      <w:pPr>
        <w:pStyle w:val="Style31"/>
        <w:numPr>
          <w:ilvl w:val="0"/>
          <w:numId w:val="2"/>
        </w:numPr>
        <w:rPr/>
      </w:pPr>
      <w:r>
        <w:rPr/>
        <w:t>подача сжатого воздуха в аэротенки должна быть осуществлена с использованием частотного регулирования;</w:t>
      </w:r>
    </w:p>
    <w:p>
      <w:pPr>
        <w:pStyle w:val="Style31"/>
        <w:numPr>
          <w:ilvl w:val="0"/>
          <w:numId w:val="2"/>
        </w:numPr>
        <w:rPr/>
      </w:pPr>
      <w:r>
        <w:rPr/>
        <w:t>автоматизированная система вентиляции и отопления для поддержания требуемых параметров микроклимата и кратности воздухообмена в помещениях;</w:t>
      </w:r>
    </w:p>
    <w:p>
      <w:pPr>
        <w:pStyle w:val="Style31"/>
        <w:numPr>
          <w:ilvl w:val="0"/>
          <w:numId w:val="2"/>
        </w:numPr>
        <w:rPr/>
      </w:pPr>
      <w:r>
        <w:rPr/>
        <w:t>управление насосами и илососами должно быть автоматизировано.</w:t>
      </w:r>
    </w:p>
    <w:p>
      <w:pPr>
        <w:pStyle w:val="Normal"/>
        <w:rPr/>
      </w:pPr>
      <w:r>
        <w:rPr/>
        <w:t>Для КНС в случае их реконструкции или строительства должны применяться следующие подходы к автоматизации:</w:t>
      </w:r>
    </w:p>
    <w:p>
      <w:pPr>
        <w:pStyle w:val="Style31"/>
        <w:numPr>
          <w:ilvl w:val="0"/>
          <w:numId w:val="156"/>
        </w:numPr>
        <w:rPr/>
      </w:pPr>
      <w:r>
        <w:rPr/>
        <w:t>управление без постоянного обслуживающего персонала, автоматическое – в зависимости от технологических параметров (уровень воды в приемном резервуаре);</w:t>
      </w:r>
    </w:p>
    <w:p>
      <w:pPr>
        <w:pStyle w:val="Style31"/>
        <w:numPr>
          <w:ilvl w:val="0"/>
          <w:numId w:val="2"/>
        </w:numPr>
        <w:rPr/>
      </w:pPr>
      <w:r>
        <w:rPr/>
        <w:t>с целью снижения пусковых токов и повышения надежности функционирования объектов на насосных станциях должен быть предусмотрен плавный пуск двигателей основных насосов;</w:t>
      </w:r>
    </w:p>
    <w:p>
      <w:pPr>
        <w:pStyle w:val="Style31"/>
        <w:numPr>
          <w:ilvl w:val="0"/>
          <w:numId w:val="2"/>
        </w:numPr>
        <w:rPr/>
      </w:pPr>
      <w:r>
        <w:rPr/>
        <w:t>предусмотреть защиту от заиливания – автоматические кратковременные тестовые пуски насосов;</w:t>
      </w:r>
    </w:p>
    <w:p>
      <w:pPr>
        <w:pStyle w:val="Style31"/>
        <w:numPr>
          <w:ilvl w:val="0"/>
          <w:numId w:val="2"/>
        </w:numPr>
        <w:rPr/>
      </w:pPr>
      <w:r>
        <w:rPr/>
        <w:t>желательно предусмотреть автоматическое чередование работающих насосов для равномерной выработки моторесурса;</w:t>
      </w:r>
    </w:p>
    <w:p>
      <w:pPr>
        <w:pStyle w:val="Style31"/>
        <w:numPr>
          <w:ilvl w:val="0"/>
          <w:numId w:val="2"/>
        </w:numPr>
        <w:rPr/>
      </w:pPr>
      <w:r>
        <w:rPr/>
        <w:t>при аварийном отключении рабочих насосных агрегатов следует предусматривать автоматическое включение резервного агрегата;</w:t>
      </w:r>
    </w:p>
    <w:p>
      <w:pPr>
        <w:pStyle w:val="Style31"/>
        <w:numPr>
          <w:ilvl w:val="0"/>
          <w:numId w:val="2"/>
        </w:numPr>
        <w:rPr/>
      </w:pPr>
      <w:r>
        <w:rPr/>
        <w:t>должна быть предусмотрена защита двигателей по току, асимметрии напряжения по фазам.</w:t>
      </w:r>
    </w:p>
    <w:p>
      <w:pPr>
        <w:pStyle w:val="Normal"/>
        <w:rPr/>
      </w:pPr>
      <w:r>
        <w:rPr/>
        <w:t>На основных КНС требуется предусмотреть контроль следующих параметров:</w:t>
      </w:r>
    </w:p>
    <w:p>
      <w:pPr>
        <w:pStyle w:val="Style31"/>
        <w:numPr>
          <w:ilvl w:val="0"/>
          <w:numId w:val="157"/>
        </w:numPr>
        <w:rPr/>
      </w:pPr>
      <w:r>
        <w:rPr/>
        <w:t>наличие напряжения на вводах;</w:t>
      </w:r>
    </w:p>
    <w:p>
      <w:pPr>
        <w:pStyle w:val="Style31"/>
        <w:numPr>
          <w:ilvl w:val="0"/>
          <w:numId w:val="2"/>
        </w:numPr>
        <w:rPr/>
      </w:pPr>
      <w:r>
        <w:rPr/>
        <w:t>уровень в приемном резервуаре;</w:t>
      </w:r>
    </w:p>
    <w:p>
      <w:pPr>
        <w:pStyle w:val="Style31"/>
        <w:numPr>
          <w:ilvl w:val="0"/>
          <w:numId w:val="2"/>
        </w:numPr>
        <w:rPr/>
      </w:pPr>
      <w:r>
        <w:rPr/>
        <w:t>расход перекачиваемой воды;</w:t>
      </w:r>
    </w:p>
    <w:p>
      <w:pPr>
        <w:pStyle w:val="Style31"/>
        <w:numPr>
          <w:ilvl w:val="0"/>
          <w:numId w:val="2"/>
        </w:numPr>
        <w:rPr/>
      </w:pPr>
      <w:r>
        <w:rPr/>
        <w:t>работающие насосные агрегаты;</w:t>
      </w:r>
    </w:p>
    <w:p>
      <w:pPr>
        <w:pStyle w:val="Style31"/>
        <w:numPr>
          <w:ilvl w:val="0"/>
          <w:numId w:val="2"/>
        </w:numPr>
        <w:rPr/>
      </w:pPr>
      <w:r>
        <w:rPr/>
        <w:t>наработка каждого насосного агрегата;</w:t>
      </w:r>
    </w:p>
    <w:p>
      <w:pPr>
        <w:pStyle w:val="Style31"/>
        <w:numPr>
          <w:ilvl w:val="0"/>
          <w:numId w:val="2"/>
        </w:numPr>
        <w:rPr/>
      </w:pPr>
      <w:r>
        <w:rPr/>
        <w:t>потребляемый ток (мощность) каждым насосным агрегатом;</w:t>
      </w:r>
    </w:p>
    <w:p>
      <w:pPr>
        <w:pStyle w:val="Style31"/>
        <w:numPr>
          <w:ilvl w:val="0"/>
          <w:numId w:val="2"/>
        </w:numPr>
        <w:rPr/>
      </w:pPr>
      <w:r>
        <w:rPr/>
        <w:t>аварийные ситуации.</w:t>
      </w:r>
    </w:p>
    <w:p>
      <w:pPr>
        <w:pStyle w:val="Normal"/>
        <w:rPr/>
      </w:pPr>
      <w:r>
        <w:rPr/>
        <w:t>При проектировании систем автоматизации объектов ЦС ВО необходимо до начала проектирования разработать техническое задание, а в процессе проектирования общесистемные решения: организационную структуру диспетчерского управления; функциональную структуру, т.е. состав автоматизируемых функций управления и алгоритмы решения задач; программное, математическое и информационное обеспечения, т.е. программы выполнения на компьютерах и контроллерах; техническое обеспечение, т.е. комплекс технических средств, необходимых для реализации функций автоматизации.</w:t>
      </w:r>
    </w:p>
    <w:p>
      <w:pPr>
        <w:pStyle w:val="Normal"/>
        <w:rPr/>
      </w:pPr>
      <w:r>
        <w:rPr/>
        <w:t>Подробное описание системы диспетчерского управления, разработка конкретных технических решений, состав оборудования и перечень необходимых материалов необходимо предусматривать соответствующим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объектов.</w:t>
      </w:r>
    </w:p>
    <w:p>
      <w:pPr>
        <w:pStyle w:val="Normal"/>
        <w:rPr/>
      </w:pPr>
      <w:r>
        <w:rPr/>
        <w:t>Настоящей Схемой ВСиВО Беловского ГО до 2036 года предусмотрены мероприятия по строительству и реконструкции очистных сооружений канализации, строительству и реконструкции канализационных насосных станций.</w:t>
      </w:r>
    </w:p>
    <w:p>
      <w:pPr>
        <w:pStyle w:val="Normal"/>
        <w:rPr/>
      </w:pPr>
      <w:r>
        <w:rPr/>
        <w:t>В целях повышения надежности системы водоотведения, а также повышения энергетической эффективности и энергосбережения при реализации данных мероприятий предусмотрено внедрение систем диспетчеризации, телемеханизации и систем управления режимами водоотведения.</w:t>
      </w:r>
    </w:p>
    <w:p>
      <w:pPr>
        <w:pStyle w:val="3"/>
        <w:rPr/>
      </w:pPr>
      <w:bookmarkStart w:id="189" w:name="_Toc158814637"/>
      <w:r>
        <w:rPr/>
        <w:t>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bookmarkEnd w:id="189"/>
    </w:p>
    <w:p>
      <w:pPr>
        <w:pStyle w:val="Normal"/>
        <w:rPr/>
      </w:pPr>
      <w:r>
        <w:rPr/>
        <w:t xml:space="preserve">Варианты маршрутов прохождения трубопроводов (трасс) по территории Беловского ГО и их характеристики приведены выше в подразделе 2.4.4. </w:t>
      </w:r>
    </w:p>
    <w:p>
      <w:pPr>
        <w:pStyle w:val="Normal"/>
        <w:rPr/>
      </w:pPr>
      <w:r>
        <w:rPr/>
        <w:t xml:space="preserve">Трассы прокладки перспективных канализационных сетей следует выбирать с учетом обеспечения кратчайшего расстояния до точек подключения перспективных абонентов, рельефа местности, искусственных и естественных преград. </w:t>
      </w:r>
    </w:p>
    <w:p>
      <w:pPr>
        <w:pStyle w:val="Normal"/>
        <w:rPr/>
      </w:pPr>
      <w:r>
        <w:rPr/>
        <w:t>Трассы прокладки перспективных канализационных сетей и места расположения площадок иных объектов централизованных систем водоотведения подлежат уточнению и корректировке на стадии проектирования объектов</w:t>
      </w:r>
    </w:p>
    <w:p>
      <w:pPr>
        <w:pStyle w:val="3"/>
        <w:rPr/>
      </w:pPr>
      <w:bookmarkStart w:id="190" w:name="_Toc158814638"/>
      <w:r>
        <w:rPr/>
        <w:t>Границы и характеристики охранных зон сетей и сооружений централизованной системы водоотведения</w:t>
      </w:r>
      <w:bookmarkEnd w:id="190"/>
    </w:p>
    <w:p>
      <w:pPr>
        <w:pStyle w:val="Normal"/>
        <w:rPr/>
      </w:pPr>
      <w:r>
        <w:rPr/>
        <w:t>Для канализационных сетей и прочих объектов ЦС ВО в соответствии с действующими в сфере централизованного водоотведения нормативными правовыми актами термин «охранная зона» не применяется.</w:t>
      </w:r>
    </w:p>
    <w:p>
      <w:pPr>
        <w:pStyle w:val="Normal"/>
        <w:rPr/>
      </w:pPr>
      <w:r>
        <w:rPr/>
        <w:t>При строительстве и реконструкции канализационных сетей и прочих объектов ЦС ВО на территории Беловского ГО нормативные требования к размерам занимаемых площадей (размерам земельных участков), размерам санитарно-защитных зон, минимальным расстояниям по горизонтали (в свету) до прочих объектов, а также иные пространственные ограничения и правила должны приниматься в соответствии с:</w:t>
      </w:r>
    </w:p>
    <w:p>
      <w:pPr>
        <w:pStyle w:val="Normal"/>
        <w:rPr/>
      </w:pPr>
      <w:r>
        <w:rPr/>
        <w:t>1) [</w:t>
      </w:r>
      <w:r>
        <w:rPr/>
        <w:fldChar w:fldCharType="begin"/>
      </w:r>
      <w:r>
        <w:rPr/>
        <w:instrText xml:space="preserve"> REF _Ref156928201 \n \h </w:instrText>
      </w:r>
      <w:r>
        <w:rPr/>
        <w:fldChar w:fldCharType="separate"/>
      </w:r>
      <w:r>
        <w:rPr/>
        <w:t>29</w:t>
      </w:r>
      <w:r>
        <w:rPr/>
        <w:fldChar w:fldCharType="end"/>
      </w:r>
      <w:r>
        <w:rPr/>
        <w:t>];</w:t>
      </w:r>
    </w:p>
    <w:p>
      <w:pPr>
        <w:pStyle w:val="Normal"/>
        <w:rPr/>
      </w:pPr>
      <w:r>
        <w:rPr/>
        <w:t>2) [</w:t>
      </w:r>
      <w:r>
        <w:rPr/>
        <w:fldChar w:fldCharType="begin"/>
      </w:r>
      <w:r>
        <w:rPr/>
        <w:instrText xml:space="preserve"> REF _Ref156928208 \n \h </w:instrText>
      </w:r>
      <w:r>
        <w:rPr/>
        <w:fldChar w:fldCharType="separate"/>
      </w:r>
      <w:r>
        <w:rPr/>
        <w:t>30</w:t>
      </w:r>
      <w:r>
        <w:rPr/>
        <w:fldChar w:fldCharType="end"/>
      </w:r>
      <w:r>
        <w:rPr/>
        <w:t>];</w:t>
      </w:r>
    </w:p>
    <w:p>
      <w:pPr>
        <w:pStyle w:val="Normal"/>
        <w:rPr/>
      </w:pPr>
      <w:r>
        <w:rPr/>
        <w:t>3) [</w:t>
      </w:r>
      <w:r>
        <w:rPr/>
        <w:fldChar w:fldCharType="begin"/>
      </w:r>
      <w:r>
        <w:rPr/>
        <w:instrText xml:space="preserve"> REF _Ref156928222 \n \h </w:instrText>
      </w:r>
      <w:r>
        <w:rPr/>
        <w:fldChar w:fldCharType="separate"/>
      </w:r>
      <w:r>
        <w:rPr/>
        <w:t>31</w:t>
      </w:r>
      <w:r>
        <w:rPr/>
        <w:fldChar w:fldCharType="end"/>
      </w:r>
      <w:r>
        <w:rPr/>
        <w:t>];</w:t>
      </w:r>
    </w:p>
    <w:p>
      <w:pPr>
        <w:pStyle w:val="Normal"/>
        <w:rPr/>
      </w:pPr>
      <w:r>
        <w:rPr/>
        <w:t>4) [</w:t>
      </w:r>
      <w:r>
        <w:rPr/>
        <w:fldChar w:fldCharType="begin"/>
      </w:r>
      <w:r>
        <w:rPr/>
        <w:instrText xml:space="preserve"> REF _Ref156928229 \n \h </w:instrText>
      </w:r>
      <w:r>
        <w:rPr/>
        <w:fldChar w:fldCharType="separate"/>
      </w:r>
      <w:r>
        <w:rPr/>
        <w:t>32</w:t>
      </w:r>
      <w:r>
        <w:rPr/>
        <w:fldChar w:fldCharType="end"/>
      </w:r>
      <w:r>
        <w:rPr/>
        <w:t>];</w:t>
      </w:r>
    </w:p>
    <w:p>
      <w:pPr>
        <w:pStyle w:val="Normal"/>
        <w:rPr/>
      </w:pPr>
      <w:r>
        <w:rPr/>
        <w:t>5) [</w:t>
      </w:r>
      <w:r>
        <w:rPr/>
        <w:fldChar w:fldCharType="begin"/>
      </w:r>
      <w:r>
        <w:rPr/>
        <w:instrText xml:space="preserve"> REF _Ref155186900 \r \h </w:instrText>
      </w:r>
      <w:r>
        <w:rPr/>
        <w:fldChar w:fldCharType="separate"/>
      </w:r>
      <w:r>
        <w:rPr/>
        <w:t>14</w:t>
      </w:r>
      <w:r>
        <w:rPr/>
        <w:fldChar w:fldCharType="end"/>
      </w:r>
      <w:r>
        <w:rPr/>
        <w:t>].</w:t>
      </w:r>
    </w:p>
    <w:p>
      <w:pPr>
        <w:pStyle w:val="3"/>
        <w:rPr/>
      </w:pPr>
      <w:bookmarkStart w:id="191" w:name="_Toc158814639"/>
      <w:r>
        <w:rPr/>
        <w:t>Границы планируемых зон размещения объектов централизованной системы водоотведения</w:t>
      </w:r>
      <w:bookmarkEnd w:id="191"/>
    </w:p>
    <w:p>
      <w:pPr>
        <w:pStyle w:val="Normal"/>
        <w:rPr/>
      </w:pPr>
      <w:r>
        <w:rPr/>
        <w:t>Границы планируемых зон размещения объектов ЦС ВО на территории Беловского ГО приведены выше в составе электронной гидравлической модели системы централизованного водоснабжения и водоотведения Беловского ГО.</w:t>
      </w:r>
    </w:p>
    <w:p>
      <w:pPr>
        <w:pStyle w:val="2"/>
        <w:rPr/>
      </w:pPr>
      <w:bookmarkStart w:id="192" w:name="_Toc158814640"/>
      <w:r>
        <w:rPr/>
        <w:t>Экологические аспекты мероприятий по строительству и реконструкции объектов централизованной системы водоотведения</w:t>
      </w:r>
      <w:bookmarkEnd w:id="192"/>
    </w:p>
    <w:p>
      <w:pPr>
        <w:pStyle w:val="3"/>
        <w:rPr/>
      </w:pPr>
      <w:bookmarkStart w:id="193" w:name="_Toc158814641"/>
      <w:r>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193"/>
    </w:p>
    <w:p>
      <w:pPr>
        <w:pStyle w:val="Normal"/>
        <w:rPr/>
      </w:pPr>
      <w:r>
        <w:rPr/>
        <w:t>В Беловском ГО запланировано строительство новых очистных сооружений в пгт. Новый Городок, пгт. Бачатский, мкр. Бабанаково, реконструкция очистных сооружений г. Белово (центральная часть), а также реконструкция сетей и сооружений на них.</w:t>
      </w:r>
    </w:p>
    <w:p>
      <w:pPr>
        <w:pStyle w:val="Normal"/>
        <w:rPr/>
      </w:pPr>
      <w:r>
        <w:rPr/>
        <w:t>Более подробно мероприятия по снижению негативного воздействия на окружающую среду по основному сценарию развития системы водоотведения городского округа приведены выше в подразделе 2.4.4.</w:t>
      </w:r>
    </w:p>
    <w:p>
      <w:pPr>
        <w:pStyle w:val="3"/>
        <w:rPr/>
      </w:pPr>
      <w:bookmarkStart w:id="194" w:name="_Toc158814642"/>
      <w:r>
        <w:rPr/>
        <w:t>Сведения о применении методов, безопасных для окружающей среды, при утилизации осадков сточных вод</w:t>
      </w:r>
      <w:bookmarkEnd w:id="194"/>
    </w:p>
    <w:p>
      <w:pPr>
        <w:pStyle w:val="Normal"/>
        <w:rPr/>
      </w:pPr>
      <w:r>
        <w:rPr/>
        <w:t>Осадки сточных вод, скапливающиеся на очистных сооружениях, представляют собой водные суспензии с объемной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w:t>
      </w:r>
    </w:p>
    <w:p>
      <w:pPr>
        <w:pStyle w:val="Normal"/>
        <w:rPr/>
      </w:pPr>
      <w:r>
        <w:rPr/>
      </w:r>
    </w:p>
    <w:p>
      <w:pPr>
        <w:pStyle w:val="2"/>
        <w:rPr/>
      </w:pPr>
      <w:bookmarkStart w:id="195" w:name="_Toc158814643"/>
      <w:r>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95"/>
    </w:p>
    <w:p>
      <w:pPr>
        <w:pStyle w:val="3"/>
        <w:rPr/>
      </w:pPr>
      <w:bookmarkStart w:id="196" w:name="_Toc158814644"/>
      <w:r>
        <w:rPr/>
        <w:t>Оценка потребности в капитальных вложениях в строительство и реконструкцию объектов централизованных систем водоотведения, рассчитанная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bookmarkEnd w:id="196"/>
    </w:p>
    <w:p>
      <w:pPr>
        <w:pStyle w:val="Normal"/>
        <w:rPr/>
      </w:pPr>
      <w:r>
        <w:rPr/>
        <w:t>Оценка объемов капитальных вложений (стоимости) в строительство, реконструкцию и модернизацию объектов централизованных систем водоотведения произведена в соответствии со следующими нормативными правовыми актами:</w:t>
      </w:r>
    </w:p>
    <w:p>
      <w:pPr>
        <w:pStyle w:val="Normal"/>
        <w:rPr/>
      </w:pPr>
      <w:r>
        <w:rPr/>
        <w:t>1) методика разработки и применения укрупненных нормативов цены строительства, а также порядка их утверждения, утвержденная [</w:t>
      </w:r>
      <w:r>
        <w:rPr/>
        <w:fldChar w:fldCharType="begin"/>
      </w:r>
      <w:r>
        <w:rPr/>
        <w:instrText xml:space="preserve"> REF _Ref156946183 \n \h </w:instrText>
      </w:r>
      <w:r>
        <w:rPr/>
        <w:fldChar w:fldCharType="separate"/>
      </w:r>
      <w:r>
        <w:rPr/>
        <w:t>25</w:t>
      </w:r>
      <w:r>
        <w:rPr/>
        <w:fldChar w:fldCharType="end"/>
      </w:r>
      <w:r>
        <w:rPr/>
        <w:t>];</w:t>
      </w:r>
    </w:p>
    <w:p>
      <w:pPr>
        <w:pStyle w:val="Normal"/>
        <w:rPr/>
      </w:pPr>
      <w:r>
        <w:rPr/>
        <w:t>2) [</w:t>
      </w:r>
      <w:r>
        <w:rPr/>
        <w:fldChar w:fldCharType="begin"/>
      </w:r>
      <w:r>
        <w:rPr/>
        <w:instrText xml:space="preserve"> REF _Ref156946189 \n \h </w:instrText>
      </w:r>
      <w:r>
        <w:rPr/>
        <w:fldChar w:fldCharType="separate"/>
      </w:r>
      <w:r>
        <w:rPr/>
        <w:t>26</w:t>
      </w:r>
      <w:r>
        <w:rPr/>
        <w:fldChar w:fldCharType="end"/>
      </w:r>
      <w:r>
        <w:rPr/>
        <w:t>];</w:t>
      </w:r>
    </w:p>
    <w:p>
      <w:pPr>
        <w:pStyle w:val="Normal"/>
        <w:rPr/>
      </w:pPr>
      <w:r>
        <w:rPr/>
        <w:t>3) [</w:t>
      </w:r>
      <w:r>
        <w:rPr/>
        <w:fldChar w:fldCharType="begin"/>
      </w:r>
      <w:r>
        <w:rPr/>
        <w:instrText xml:space="preserve"> REF _Ref156946192 \n \h </w:instrText>
      </w:r>
      <w:r>
        <w:rPr/>
        <w:fldChar w:fldCharType="separate"/>
      </w:r>
      <w:r>
        <w:rPr/>
        <w:t>27</w:t>
      </w:r>
      <w:r>
        <w:rPr/>
        <w:fldChar w:fldCharType="end"/>
      </w:r>
      <w:r>
        <w:rPr/>
        <w:t>].</w:t>
      </w:r>
    </w:p>
    <w:p>
      <w:pPr>
        <w:pStyle w:val="Normal"/>
        <w:rPr/>
      </w:pPr>
      <w:r>
        <w:rPr/>
        <w:t>При определении стоимости строительства, реконструкции и модернизации канализационных сетей в соответствии с [</w:t>
      </w:r>
      <w:r>
        <w:rPr/>
        <w:fldChar w:fldCharType="begin"/>
      </w:r>
      <w:r>
        <w:rPr/>
        <w:instrText xml:space="preserve"> REF _Ref156946189 \n \h </w:instrText>
      </w:r>
      <w:r>
        <w:rPr/>
        <w:fldChar w:fldCharType="separate"/>
      </w:r>
      <w:r>
        <w:rPr/>
        <w:t>26</w:t>
      </w:r>
      <w:r>
        <w:rPr/>
        <w:fldChar w:fldCharType="end"/>
      </w:r>
      <w:r>
        <w:rPr/>
        <w:t>] приняты следующие положения:</w:t>
      </w:r>
    </w:p>
    <w:p>
      <w:pPr>
        <w:pStyle w:val="Style31"/>
        <w:numPr>
          <w:ilvl w:val="0"/>
          <w:numId w:val="158"/>
        </w:numPr>
        <w:rPr/>
      </w:pPr>
      <w:r>
        <w:rPr/>
        <w:t>применение при строительстве, реконструкции и модернизации канализационных сетей из полиэтиленовых труб;</w:t>
      </w:r>
    </w:p>
    <w:p>
      <w:pPr>
        <w:pStyle w:val="Style31"/>
        <w:numPr>
          <w:ilvl w:val="0"/>
          <w:numId w:val="2"/>
        </w:numPr>
        <w:rPr/>
      </w:pPr>
      <w:r>
        <w:rPr/>
        <w:t>способ производства работ – разработка мокрого грунта в отвал, без креплений (группа грунтов 1–3, глубина – 3 м);</w:t>
      </w:r>
    </w:p>
    <w:p>
      <w:pPr>
        <w:pStyle w:val="Style31"/>
        <w:numPr>
          <w:ilvl w:val="0"/>
          <w:numId w:val="2"/>
        </w:numPr>
        <w:rPr/>
      </w:pPr>
      <w:r>
        <w:rPr/>
        <w:t>коэффициент перехода от цен базового района к уровню цен субъекта Российской Федерации Kпер=1,00;</w:t>
      </w:r>
    </w:p>
    <w:p>
      <w:pPr>
        <w:pStyle w:val="Style31"/>
        <w:numPr>
          <w:ilvl w:val="0"/>
          <w:numId w:val="2"/>
        </w:numPr>
        <w:rPr/>
      </w:pPr>
      <w:r>
        <w:rPr/>
        <w:t>зональный коэффициент изменения стоимости строительства Kпер/зон=1,00;</w:t>
      </w:r>
    </w:p>
    <w:p>
      <w:pPr>
        <w:pStyle w:val="Style31"/>
        <w:numPr>
          <w:ilvl w:val="0"/>
          <w:numId w:val="2"/>
        </w:numPr>
        <w:rPr/>
      </w:pPr>
      <w:r>
        <w:rPr/>
        <w:t>коэффициент, учитывающий изменение стоимости строительства на территориях субъектов Российской Федерации, связанный с климатическими условиями Kрег1=1,02;</w:t>
      </w:r>
    </w:p>
    <w:p>
      <w:pPr>
        <w:pStyle w:val="Style31"/>
        <w:numPr>
          <w:ilvl w:val="0"/>
          <w:numId w:val="2"/>
        </w:numPr>
        <w:rPr/>
      </w:pPr>
      <w:r>
        <w:rPr/>
        <w:t>коэффициент, характеризующий удорожание стоимости строительства в сейсмических районах Российской Федерации по отношению к базовому району Kс=1,00.</w:t>
      </w:r>
    </w:p>
    <w:p>
      <w:pPr>
        <w:pStyle w:val="Normal"/>
        <w:rPr/>
      </w:pPr>
      <w:r>
        <w:rPr/>
        <w:t>При определении стоимости строительства, реконструкции и модернизации прочих объектов централизованных систем водоотведения в соответствии с [</w:t>
      </w:r>
      <w:r>
        <w:rPr/>
        <w:fldChar w:fldCharType="begin"/>
      </w:r>
      <w:r>
        <w:rPr/>
        <w:instrText xml:space="preserve"> REF _Ref156946192 \n \h </w:instrText>
      </w:r>
      <w:r>
        <w:rPr/>
        <w:fldChar w:fldCharType="separate"/>
      </w:r>
      <w:r>
        <w:rPr/>
        <w:t>27</w:t>
      </w:r>
      <w:r>
        <w:rPr/>
        <w:fldChar w:fldCharType="end"/>
      </w:r>
      <w:r>
        <w:rPr/>
        <w:t>] приняты следующие положения:</w:t>
      </w:r>
    </w:p>
    <w:p>
      <w:pPr>
        <w:pStyle w:val="Style31"/>
        <w:numPr>
          <w:ilvl w:val="0"/>
          <w:numId w:val="159"/>
        </w:numPr>
        <w:rPr/>
      </w:pPr>
      <w:r>
        <w:rPr/>
        <w:t>коэффициент перехода от цен базового района к уровню цен субъекта Российской Федерации Kпер=1,01;</w:t>
      </w:r>
    </w:p>
    <w:p>
      <w:pPr>
        <w:pStyle w:val="Style31"/>
        <w:numPr>
          <w:ilvl w:val="0"/>
          <w:numId w:val="2"/>
        </w:numPr>
        <w:rPr/>
      </w:pPr>
      <w:r>
        <w:rPr/>
        <w:t>зональный коэффициент изменения стоимости строительства Kпер/зон=1,01;</w:t>
      </w:r>
    </w:p>
    <w:p>
      <w:pPr>
        <w:pStyle w:val="Style31"/>
        <w:numPr>
          <w:ilvl w:val="0"/>
          <w:numId w:val="2"/>
        </w:numPr>
        <w:rPr/>
      </w:pPr>
      <w:r>
        <w:rPr/>
        <w:t>коэффициент, учитывающий изменение стоимости строительства на территориях субъектов Российской Федерации, связанный с климатическими условиями Kрег1=1,01;</w:t>
      </w:r>
    </w:p>
    <w:p>
      <w:pPr>
        <w:pStyle w:val="Style31"/>
        <w:numPr>
          <w:ilvl w:val="0"/>
          <w:numId w:val="2"/>
        </w:numPr>
        <w:rPr/>
      </w:pPr>
      <w:r>
        <w:rPr/>
        <w:t>коэффициент, характеризующий удорожание стоимости строительства в сейсмических районах Российской Федерации по отношению к базовому району Kс=1,00.</w:t>
      </w:r>
    </w:p>
    <w:p>
      <w:pPr>
        <w:pStyle w:val="Normal"/>
        <w:rPr/>
      </w:pPr>
      <w:r>
        <w:rPr/>
        <w:t xml:space="preserve">Для приведения стоимостей мероприятий от цен 2022 года к ценам лет их реализации применены определенные в соответствии прогнозом социально-экономического развития Российской Федерации на период до 2036 года (разработан и опубликован 28.11.2018 Министерством экономического развития Российской Федерации) индексы-дефляторы (по базовому варианту по строке «Инвестиции в основной капитал»). Примененные индексы-дефляторы приведены в таблице </w:t>
      </w:r>
      <w:r>
        <w:rPr/>
        <w:fldChar w:fldCharType="begin"/>
      </w:r>
      <w:r>
        <w:rPr/>
        <w:instrText xml:space="preserve"> REF _Ref156873538 \h </w:instrText>
      </w:r>
      <w:r>
        <w:rPr/>
        <w:fldChar w:fldCharType="separate"/>
      </w:r>
      <w:r>
        <w:rPr/>
        <w:t>Таблица 2.6.36</w:t>
      </w:r>
      <w:r>
        <w:rPr/>
        <w:fldChar w:fldCharType="end"/>
      </w:r>
      <w:r>
        <w:rPr/>
        <w:t>.</w:t>
      </w:r>
    </w:p>
    <w:p>
      <w:pPr>
        <w:pStyle w:val="Style34"/>
        <w:rPr/>
      </w:pPr>
      <w:bookmarkStart w:id="197" w:name="_Ref156873538"/>
      <w:r>
        <w:rPr/>
        <w:t xml:space="preserve">Таблица </w:t>
      </w:r>
      <w:r>
        <w:fldChar w:fldCharType="begin"/>
      </w:r>
      <w:r>
        <w:rPr/>
        <w:instrText xml:space="preserve">STYLEREF 2 \s</w:instrText>
      </w:r>
      <w:r>
        <w:rPr/>
      </w:r>
      <w:r>
        <w:rPr/>
        <w:fldChar w:fldCharType="separate"/>
      </w:r>
      <w:r>
        <w:rPr/>
        <w:t>2.6</w:t>
      </w:r>
      <w:r>
        <w:rPr/>
      </w:r>
      <w:r>
        <w:rPr/>
        <w:fldChar w:fldCharType="end"/>
      </w:r>
      <w:r>
        <w:rPr/>
        <w:t>.</w:t>
      </w:r>
      <w:r>
        <w:rPr/>
        <w:fldChar w:fldCharType="begin"/>
      </w:r>
      <w:r>
        <w:rPr/>
        <w:instrText xml:space="preserve"> SEQ Таблица \* ARABIC </w:instrText>
      </w:r>
      <w:r>
        <w:rPr/>
        <w:fldChar w:fldCharType="separate"/>
      </w:r>
      <w:r>
        <w:rPr/>
        <w:t>36</w:t>
      </w:r>
      <w:r>
        <w:rPr/>
        <w:fldChar w:fldCharType="end"/>
      </w:r>
      <w:bookmarkEnd w:id="197"/>
      <w:r>
        <w:rPr/>
        <w:t xml:space="preserve"> – Примененные для приведения стоимостей мероприятий от цен 2023 года к ценам лет их реализации индексы-дефляторы</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606"/>
        <w:gridCol w:w="2224"/>
        <w:gridCol w:w="932"/>
        <w:gridCol w:w="933"/>
        <w:gridCol w:w="931"/>
        <w:gridCol w:w="932"/>
        <w:gridCol w:w="932"/>
        <w:gridCol w:w="933"/>
        <w:gridCol w:w="931"/>
      </w:tblGrid>
      <w:tr>
        <w:trPr>
          <w:tblHeader w:val="true"/>
          <w:trHeight w:val="20" w:hRule="atLeast"/>
        </w:trPr>
        <w:tc>
          <w:tcPr>
            <w:tcW w:w="6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 </w:t>
            </w:r>
            <w:r>
              <w:rPr>
                <w:rFonts w:eastAsia="Times New Roman" w:cs="Times New Roman"/>
                <w:color w:val="000000"/>
                <w:sz w:val="20"/>
                <w:szCs w:val="20"/>
                <w:lang w:eastAsia="ru-RU"/>
              </w:rPr>
              <w:t>п.п.</w:t>
            </w:r>
          </w:p>
        </w:tc>
        <w:tc>
          <w:tcPr>
            <w:tcW w:w="222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Наименование показателя</w:t>
            </w:r>
          </w:p>
        </w:tc>
        <w:tc>
          <w:tcPr>
            <w:tcW w:w="9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2023</w:t>
            </w:r>
          </w:p>
        </w:tc>
        <w:tc>
          <w:tcPr>
            <w:tcW w:w="9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2024</w:t>
            </w:r>
          </w:p>
        </w:tc>
        <w:tc>
          <w:tcPr>
            <w:tcW w:w="93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2025</w:t>
            </w:r>
          </w:p>
        </w:tc>
        <w:tc>
          <w:tcPr>
            <w:tcW w:w="9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2026</w:t>
            </w:r>
          </w:p>
        </w:tc>
        <w:tc>
          <w:tcPr>
            <w:tcW w:w="9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2027</w:t>
            </w:r>
          </w:p>
        </w:tc>
        <w:tc>
          <w:tcPr>
            <w:tcW w:w="9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2028</w:t>
            </w:r>
          </w:p>
        </w:tc>
        <w:tc>
          <w:tcPr>
            <w:tcW w:w="93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2029</w:t>
            </w:r>
          </w:p>
        </w:tc>
      </w:tr>
      <w:tr>
        <w:trPr>
          <w:tblHeader w:val="true"/>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r>
      <w:tr>
        <w:trPr>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предыдущему году</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106,97%</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105,27%</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104,76%</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104,58%</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104,13%</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r>
      <w:tr>
        <w:trPr>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2023 году</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100,00%</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105,27%</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110,29%</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115,34%</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120,10%</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124,94%</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129,98%</w:t>
            </w:r>
          </w:p>
        </w:tc>
      </w:tr>
      <w:tr>
        <w:trPr>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2030</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3031</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2032</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2033</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2034</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2035</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2036</w:t>
            </w:r>
          </w:p>
        </w:tc>
      </w:tr>
      <w:tr>
        <w:trPr>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предыдущему году</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104,03%</w:t>
            </w:r>
          </w:p>
        </w:tc>
      </w:tr>
      <w:tr>
        <w:trPr>
          <w:trHeight w:val="20" w:hRule="atLeast"/>
        </w:trPr>
        <w:tc>
          <w:tcPr>
            <w:tcW w:w="606"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2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20"/>
                <w:szCs w:val="20"/>
                <w:lang w:eastAsia="ru-RU"/>
              </w:rPr>
            </w:pPr>
            <w:r>
              <w:rPr>
                <w:rFonts w:eastAsia="Times New Roman" w:cs="Times New Roman"/>
                <w:color w:val="000000"/>
                <w:sz w:val="20"/>
                <w:szCs w:val="20"/>
                <w:lang w:eastAsia="ru-RU"/>
              </w:rPr>
              <w:t>Темп роста по отношению к 2023 году</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135,21%</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140,66%</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146,33%</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152,23%</w:t>
            </w:r>
          </w:p>
        </w:tc>
        <w:tc>
          <w:tcPr>
            <w:tcW w:w="9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158,36%</w:t>
            </w:r>
          </w:p>
        </w:tc>
        <w:tc>
          <w:tcPr>
            <w:tcW w:w="9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164,75%</w:t>
            </w:r>
          </w:p>
        </w:tc>
        <w:tc>
          <w:tcPr>
            <w:tcW w:w="9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20"/>
                <w:szCs w:val="20"/>
                <w:lang w:eastAsia="ru-RU"/>
              </w:rPr>
            </w:pPr>
            <w:r>
              <w:rPr>
                <w:rFonts w:eastAsia="Times New Roman" w:cs="Times New Roman"/>
                <w:color w:val="000000"/>
                <w:sz w:val="20"/>
                <w:szCs w:val="20"/>
                <w:lang w:eastAsia="ru-RU"/>
              </w:rPr>
              <w:t>171,39%</w:t>
            </w:r>
          </w:p>
        </w:tc>
      </w:tr>
    </w:tbl>
    <w:p>
      <w:pPr>
        <w:sectPr>
          <w:footerReference w:type="default" r:id="rId77"/>
          <w:footerReference w:type="first" r:id="rId78"/>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Оценка потребности в капитальных вложениях в строительство и реконструкцию объектов централизованных систем водоотведения, рассчитанная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 по Беловскому ГО приведена в таблице ниже.</w:t>
      </w:r>
    </w:p>
    <w:p>
      <w:pPr>
        <w:pStyle w:val="Style34"/>
        <w:rPr/>
      </w:pPr>
      <w:r>
        <w:rPr/>
        <w:t xml:space="preserve">Таблица </w:t>
      </w:r>
      <w:r>
        <w:fldChar w:fldCharType="begin"/>
      </w:r>
      <w:r>
        <w:rPr/>
        <w:instrText xml:space="preserve">STYLEREF 2 \s</w:instrText>
      </w:r>
      <w:r>
        <w:rPr/>
      </w:r>
      <w:r>
        <w:rPr/>
        <w:fldChar w:fldCharType="separate"/>
      </w:r>
      <w:r>
        <w:rPr/>
        <w:t>2.6</w:t>
      </w:r>
      <w:r>
        <w:rPr/>
      </w:r>
      <w:r>
        <w:rPr/>
        <w:fldChar w:fldCharType="end"/>
      </w:r>
      <w:r>
        <w:rPr/>
        <w:t>.</w:t>
      </w:r>
      <w:r>
        <w:rPr/>
        <w:fldChar w:fldCharType="begin"/>
      </w:r>
      <w:r>
        <w:rPr/>
        <w:instrText xml:space="preserve"> SEQ Таблица \* ARABIC </w:instrText>
      </w:r>
      <w:r>
        <w:rPr/>
        <w:fldChar w:fldCharType="separate"/>
      </w:r>
      <w:r>
        <w:rPr/>
        <w:t>37</w:t>
      </w:r>
      <w:r>
        <w:rPr/>
        <w:fldChar w:fldCharType="end"/>
      </w:r>
      <w:r>
        <w:rPr/>
        <w:t xml:space="preserve"> – Оценка потребности в капитальных вложениях в строительство и реконструкцию объектов централизованных систем водоотведения, рассчитанная на основании укрупненных сметных нормативов для объектов непроизводственного назначения и инженерной инфраструктуры</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07"/>
        <w:gridCol w:w="3131"/>
        <w:gridCol w:w="735"/>
        <w:gridCol w:w="734"/>
        <w:gridCol w:w="734"/>
        <w:gridCol w:w="735"/>
        <w:gridCol w:w="734"/>
        <w:gridCol w:w="734"/>
        <w:gridCol w:w="735"/>
        <w:gridCol w:w="735"/>
        <w:gridCol w:w="735"/>
        <w:gridCol w:w="734"/>
        <w:gridCol w:w="734"/>
        <w:gridCol w:w="735"/>
        <w:gridCol w:w="734"/>
        <w:gridCol w:w="734"/>
        <w:gridCol w:w="750"/>
      </w:tblGrid>
      <w:tr>
        <w:trPr>
          <w:tblHeader w:val="true"/>
          <w:trHeight w:val="20" w:hRule="atLeast"/>
        </w:trPr>
        <w:tc>
          <w:tcPr>
            <w:tcW w:w="40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 xml:space="preserve">№ </w:t>
            </w:r>
            <w:r>
              <w:rPr>
                <w:rFonts w:eastAsia="Times New Roman" w:cs="Times New Roman"/>
                <w:color w:val="000000"/>
                <w:sz w:val="16"/>
                <w:szCs w:val="16"/>
                <w:lang w:eastAsia="ru-RU"/>
              </w:rPr>
              <w:t>п.п.</w:t>
            </w:r>
          </w:p>
        </w:tc>
        <w:tc>
          <w:tcPr>
            <w:tcW w:w="313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Наименование мероприятия</w:t>
            </w:r>
          </w:p>
        </w:tc>
        <w:tc>
          <w:tcPr>
            <w:tcW w:w="11032" w:type="dxa"/>
            <w:gridSpan w:val="1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Объем капитальных вложений в ценах лет реализации (с НДС), тыс. руб.</w:t>
            </w:r>
          </w:p>
        </w:tc>
      </w:tr>
      <w:tr>
        <w:trPr>
          <w:tblHeader w:val="true"/>
          <w:trHeight w:val="470" w:hRule="atLeast"/>
        </w:trPr>
        <w:tc>
          <w:tcPr>
            <w:tcW w:w="40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31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2023</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2026</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2027</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2029</w:t>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2030</w:t>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2031</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2032</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2033</w:t>
            </w:r>
          </w:p>
        </w:tc>
        <w:tc>
          <w:tcPr>
            <w:tcW w:w="73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2034</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2035</w:t>
            </w:r>
          </w:p>
        </w:tc>
        <w:tc>
          <w:tcPr>
            <w:tcW w:w="73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2036</w:t>
            </w:r>
          </w:p>
        </w:tc>
        <w:tc>
          <w:tcPr>
            <w:tcW w:w="7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итого</w:t>
            </w:r>
          </w:p>
        </w:tc>
      </w:tr>
      <w:tr>
        <w:trPr>
          <w:tblHeader w:val="true"/>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Строительство КОС в пгт. Новый Городок</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72 439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75 757</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78 885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82 064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85 372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88 812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483 329</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Строительство КОС в мкр. Бабанаково</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65 566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65 567</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65 567</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55 163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57 387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59 699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368 949</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Строительство КОС в пгт. Бачатский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76 823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80 342</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83 660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87 032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90 539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94 188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512 583</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мкр. Ивушка</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37 305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39 013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40 625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42 262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43 965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45 737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248 907</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пгт. Грамотеино</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70 853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74 098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77 158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80 268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83 503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86 868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472 748</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пгт. Инской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92 070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96 287</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100 263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104 304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108 508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112 881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614 313</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двух КНС по ул. Тобольская пгт. Инской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7 624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7 973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8 302</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8 637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8 985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9 347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50 868</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Внедрение систем диспетчеризации, телемеханизации и систем управления режимами водоотведения</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258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270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281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293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305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317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1 724</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КНС ул. Юбилейная</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21 112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22 079</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22 991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23 918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24 882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25 884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140 866</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КНС ул. Железнодорожная</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23 458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24 532</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25 546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26 575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27 646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28 760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156 518</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11</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Чистопольская от КНС-2 ул. Тобольская, пгт. Инской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1 084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1 133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1 180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1 228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1 277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1 329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7 232</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12</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Колмогоровская, пгт. Грамотеино</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6 034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6 311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6 571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6 836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7 112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7 398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40 262</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13</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Светлая, пгт. Грамотеино</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8 416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8 801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9 165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9 534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9 918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10 318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56 152</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14</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Л. Швецовой, пгт. Бачатский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1 673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1 750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1 822</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1 896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1 972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2 052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11 165</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Строительство самотечного коллектора для отвода стоков мкр. Финский, в систему канализации пгт. Бачатский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2 191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2 291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2 386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2 482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2 582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2 686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14 616</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16</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Железнодорожная (от КНС элеватора до ООО «Белсах»)</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6 231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6 516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6 785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7 058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7 343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7 639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41 572</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17</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Кузбасская от КНС Горсад до ГНС</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12 698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13 280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13 829</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14 386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14 966</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15 569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84 727</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18</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Юбилейная (от автовокзала до КНС)</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693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725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755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785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817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850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4 626</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19</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главного коллектора по ул. Советской</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5 680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5 940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6 185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6 435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6 694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6 964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37 898</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от ул. Новогодняя, 1 до завода СибЭЛКОМ по ул. Розы-Люксембург</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1 284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1 343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1 398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1 455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1 513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1 574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8 567</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21</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от бывшего Цинкзавода до пер. Клубный 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1 181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1 235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1 286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1 338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1 392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1 448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7 881</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22</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канализационных сетей 3-ий микрорайон, около дома № 79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444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464</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483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503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523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544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2 961</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23</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 xml:space="preserve">Реконструкция канализационного коллектора по ул. Мичурина </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1 155</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1 208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1 258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1 309</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1 362</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1 417</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7 709</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24</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(капитальный ремонт) ветхих участков сетей водоотведения (2% от общей протяженности в год)</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80 934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84 195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87 588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91 118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94 790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98 611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102 585</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639 821</w:t>
            </w:r>
          </w:p>
        </w:tc>
      </w:tr>
      <w:tr>
        <w:trPr>
          <w:trHeight w:val="20" w:hRule="atLeast"/>
        </w:trPr>
        <w:tc>
          <w:tcPr>
            <w:tcW w:w="40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31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Итого по ЦС ВО Беловского ГО</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516 273</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536 916</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556 383</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565 760</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588 561</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693 214</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84 195</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87 588</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91 118</w:t>
            </w:r>
          </w:p>
        </w:tc>
        <w:tc>
          <w:tcPr>
            <w:tcW w:w="7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94 790</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98 611</w:t>
            </w:r>
          </w:p>
        </w:tc>
        <w:tc>
          <w:tcPr>
            <w:tcW w:w="7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102 585</w:t>
            </w:r>
          </w:p>
        </w:tc>
        <w:tc>
          <w:tcPr>
            <w:tcW w:w="7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4 015 995</w:t>
            </w:r>
          </w:p>
        </w:tc>
      </w:tr>
    </w:tbl>
    <w:p>
      <w:pPr>
        <w:sectPr>
          <w:footerReference w:type="default" r:id="rId79"/>
          <w:footerReference w:type="first" r:id="rId80"/>
          <w:type w:val="nextPage"/>
          <w:pgSz w:orient="landscape" w:w="16838" w:h="11906"/>
          <w:pgMar w:left="1134" w:right="1134" w:gutter="0" w:header="0" w:top="1701" w:footer="709" w:bottom="851"/>
          <w:pgNumType w:fmt="decimal"/>
          <w:formProt w:val="false"/>
          <w:textDirection w:val="lrTb"/>
          <w:docGrid w:type="default" w:linePitch="360" w:charSpace="0"/>
        </w:sectPr>
      </w:pPr>
    </w:p>
    <w:p>
      <w:pPr>
        <w:pStyle w:val="Normal"/>
        <w:rPr/>
      </w:pPr>
      <w:r>
        <w:rPr/>
        <w:t>Для мероприятий, не имеющих утвержденных источников финансирования, источниками могут являться:</w:t>
      </w:r>
    </w:p>
    <w:p>
      <w:pPr>
        <w:pStyle w:val="Style31"/>
        <w:numPr>
          <w:ilvl w:val="0"/>
          <w:numId w:val="160"/>
        </w:numPr>
        <w:rPr/>
      </w:pPr>
      <w:r>
        <w:rPr/>
        <w:t>бюджетные средства, выделяемые в рамках муниципальных, региональных и (или) федеральных программам по развитию жилищно-коммунального сектора;</w:t>
      </w:r>
    </w:p>
    <w:p>
      <w:pPr>
        <w:pStyle w:val="Style31"/>
        <w:numPr>
          <w:ilvl w:val="0"/>
          <w:numId w:val="2"/>
        </w:numPr>
        <w:rPr/>
      </w:pPr>
      <w:r>
        <w:rPr/>
        <w:t>собственные средства организаций, осуществляющих эксплуатацию объектов централизованных систем водоснабжения, в виде амортизационных отчислений, расходов на капитальные вложения, возмещаемых за счет прибыли;</w:t>
      </w:r>
    </w:p>
    <w:p>
      <w:pPr>
        <w:pStyle w:val="Style31"/>
        <w:numPr>
          <w:ilvl w:val="0"/>
          <w:numId w:val="2"/>
        </w:numPr>
        <w:rPr/>
      </w:pPr>
      <w:r>
        <w:rPr/>
        <w:t>средства абонентов, вносимые в качестве платы за подключение перспективных объектов капитального к централизованным системам водоснабжения.</w:t>
      </w:r>
    </w:p>
    <w:p>
      <w:pPr>
        <w:pStyle w:val="Normal"/>
        <w:rPr/>
      </w:pPr>
      <w:r>
        <w:rPr/>
      </w:r>
    </w:p>
    <w:p>
      <w:pPr>
        <w:pStyle w:val="2"/>
        <w:rPr/>
      </w:pPr>
      <w:bookmarkStart w:id="198" w:name="_Toc158814645"/>
      <w:r>
        <w:rPr/>
        <w:t>Плановые значения показателей развития централизованных систем водоотведения</w:t>
      </w:r>
      <w:bookmarkEnd w:id="198"/>
    </w:p>
    <w:p>
      <w:pPr>
        <w:pStyle w:val="Normal"/>
        <w:rPr/>
      </w:pPr>
      <w:r>
        <w:rPr/>
        <w:t>В соответствии с пунктом 2 [</w:t>
      </w:r>
      <w:r>
        <w:rPr/>
        <w:fldChar w:fldCharType="begin"/>
      </w:r>
      <w:r>
        <w:rPr/>
        <w:instrText xml:space="preserve"> REF _Ref156560288 \n \h </w:instrText>
      </w:r>
      <w:r>
        <w:rPr/>
        <w:fldChar w:fldCharType="separate"/>
      </w:r>
      <w:r>
        <w:rPr/>
        <w:t>20</w:t>
      </w:r>
      <w:r>
        <w:rPr/>
        <w:fldChar w:fldCharType="end"/>
      </w:r>
      <w:r>
        <w:rPr/>
        <w:t xml:space="preserve">] к показателям развития ЦС ВО относятся: </w:t>
      </w:r>
    </w:p>
    <w:p>
      <w:pPr>
        <w:pStyle w:val="Style31"/>
        <w:numPr>
          <w:ilvl w:val="0"/>
          <w:numId w:val="161"/>
        </w:numPr>
        <w:rPr/>
      </w:pPr>
      <w:r>
        <w:rPr/>
        <w:t xml:space="preserve">показатели надежности и бесперебойности водоотведения: </w:t>
      </w:r>
    </w:p>
    <w:p>
      <w:pPr>
        <w:pStyle w:val="Style31"/>
        <w:numPr>
          <w:ilvl w:val="1"/>
          <w:numId w:val="2"/>
        </w:numPr>
        <w:rPr/>
      </w:pPr>
      <w:r>
        <w:rPr/>
        <w:t>количество аварий и засоров в расчете на протяженность канализационной сети в год (ед./км);</w:t>
      </w:r>
    </w:p>
    <w:p>
      <w:pPr>
        <w:pStyle w:val="Style31"/>
        <w:numPr>
          <w:ilvl w:val="0"/>
          <w:numId w:val="2"/>
        </w:numPr>
        <w:spacing w:before="120" w:after="120"/>
        <w:contextualSpacing/>
        <w:rPr/>
      </w:pPr>
      <w:r>
        <w:rPr/>
        <w:t xml:space="preserve">показатели очистки сточных вод: </w:t>
      </w:r>
    </w:p>
    <w:p>
      <w:pPr>
        <w:pStyle w:val="Style31"/>
        <w:numPr>
          <w:ilvl w:val="1"/>
          <w:numId w:val="2"/>
        </w:numPr>
        <w:rPr/>
      </w:pPr>
      <w:r>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 </w:t>
      </w:r>
    </w:p>
    <w:p>
      <w:pPr>
        <w:pStyle w:val="Style31"/>
        <w:numPr>
          <w:ilvl w:val="1"/>
          <w:numId w:val="2"/>
        </w:numPr>
        <w:rPr/>
      </w:pPr>
      <w:r>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w:t>
      </w:r>
    </w:p>
    <w:p>
      <w:pPr>
        <w:pStyle w:val="Style31"/>
        <w:numPr>
          <w:ilvl w:val="0"/>
          <w:numId w:val="2"/>
        </w:numPr>
        <w:spacing w:before="120" w:after="120"/>
        <w:contextualSpacing/>
        <w:rPr/>
      </w:pPr>
      <w:r>
        <w:rPr/>
        <w:t xml:space="preserve">показатели энергетической эффективности: </w:t>
      </w:r>
    </w:p>
    <w:p>
      <w:pPr>
        <w:pStyle w:val="Style31"/>
        <w:numPr>
          <w:ilvl w:val="1"/>
          <w:numId w:val="2"/>
        </w:numPr>
        <w:rPr/>
      </w:pPr>
      <w:r>
        <w:rPr/>
        <w:t>удельный расход электрической энергии, потребляемой в технологических процессах очистки и транспортировки сточных вод, на единицу объема соответственно очищаемых и транспортируемых сточных вод (кВт·ч/м³).</w:t>
      </w:r>
    </w:p>
    <w:p>
      <w:pPr>
        <w:pStyle w:val="Normal"/>
        <w:rPr/>
      </w:pPr>
      <w:r>
        <w:rPr/>
        <w:t>Фактические и плановые значения показателей развития ЦС ВО в эксплуатационной зоне ООО «БелГОС» на территории Беловского ГО приведены в таблице </w:t>
      </w:r>
      <w:r>
        <w:rPr/>
        <w:fldChar w:fldCharType="begin"/>
      </w:r>
      <w:r>
        <w:rPr/>
        <w:instrText xml:space="preserve"> REF _Ref156940471 \h </w:instrText>
      </w:r>
      <w:r>
        <w:rPr/>
        <w:fldChar w:fldCharType="separate"/>
      </w:r>
      <w:r>
        <w:rPr/>
        <w:t>Таблица 2.7.38</w:t>
      </w:r>
      <w:r>
        <w:rPr/>
        <w:fldChar w:fldCharType="end"/>
      </w:r>
      <w:r>
        <w:rPr/>
        <w:t>.</w:t>
      </w:r>
    </w:p>
    <w:p>
      <w:pPr>
        <w:pStyle w:val="Normal"/>
        <w:rPr>
          <w:rFonts w:eastAsia="Times New Roman" w:cs="Times New Roman"/>
          <w:color w:val="000000"/>
          <w:sz w:val="18"/>
          <w:szCs w:val="18"/>
          <w:lang w:eastAsia="ru-RU"/>
        </w:rPr>
      </w:pPr>
      <w:r>
        <w:rPr/>
        <w:t xml:space="preserve">Фактические и плановые значения показателей развития ЦС ВО в эксплуатационной зоне ООО «ЭК» на территории Беловского ГО приведены в таблице </w:t>
      </w:r>
      <w:r>
        <w:rPr>
          <w:rFonts w:eastAsia="Times New Roman" w:cs="Times New Roman"/>
          <w:color w:val="000000"/>
          <w:sz w:val="18"/>
          <w:szCs w:val="18"/>
          <w:lang w:eastAsia="ru-RU"/>
        </w:rPr>
        <w:fldChar w:fldCharType="begin"/>
      </w:r>
      <w:r>
        <w:rPr>
          <w:sz w:val="18"/>
          <w:szCs w:val="18"/>
          <w:rFonts w:eastAsia="Times New Roman" w:cs="Times New Roman"/>
          <w:color w:val="000000"/>
          <w:lang w:eastAsia="ru-RU"/>
        </w:rPr>
        <w:instrText xml:space="preserve"> REF _Ref156940475 \h </w:instrText>
      </w:r>
      <w:r>
        <w:rPr>
          <w:sz w:val="18"/>
          <w:szCs w:val="18"/>
          <w:rFonts w:eastAsia="Times New Roman" w:cs="Times New Roman"/>
          <w:color w:val="000000"/>
          <w:lang w:eastAsia="ru-RU"/>
        </w:rPr>
        <w:fldChar w:fldCharType="separate"/>
      </w:r>
      <w:r>
        <w:rPr>
          <w:sz w:val="18"/>
          <w:szCs w:val="18"/>
          <w:rFonts w:eastAsia="Times New Roman" w:cs="Times New Roman"/>
          <w:color w:val="000000"/>
          <w:lang w:eastAsia="ru-RU"/>
        </w:rPr>
        <w:t>Таблица 2.7.39</w:t>
      </w:r>
      <w:r>
        <w:rPr>
          <w:sz w:val="18"/>
          <w:szCs w:val="18"/>
          <w:rFonts w:eastAsia="Times New Roman" w:cs="Times New Roman"/>
          <w:color w:val="000000"/>
          <w:lang w:eastAsia="ru-RU"/>
        </w:rPr>
        <w:fldChar w:fldCharType="end"/>
      </w:r>
      <w:r>
        <w:rPr>
          <w:rFonts w:eastAsia="Times New Roman" w:cs="Times New Roman"/>
          <w:color w:val="000000"/>
          <w:sz w:val="18"/>
          <w:szCs w:val="18"/>
          <w:lang w:eastAsia="ru-RU"/>
        </w:rPr>
        <w:t>.</w:t>
      </w:r>
    </w:p>
    <w:p>
      <w:pPr>
        <w:sectPr>
          <w:footerReference w:type="default" r:id="rId81"/>
          <w:footerReference w:type="first" r:id="rId82"/>
          <w:type w:val="nextPage"/>
          <w:pgSz w:w="11906" w:h="16838"/>
          <w:pgMar w:left="1701" w:right="850" w:gutter="0" w:header="0" w:top="1134" w:footer="708" w:bottom="1134"/>
          <w:pgNumType w:fmt="decimal"/>
          <w:formProt w:val="false"/>
          <w:textDirection w:val="lrTb"/>
          <w:docGrid w:type="default" w:linePitch="360" w:charSpace="0"/>
        </w:sectPr>
        <w:pStyle w:val="Normal"/>
        <w:ind w:firstLine="708"/>
        <w:rPr>
          <w:rFonts w:eastAsia="Times New Roman" w:cs="Times New Roman"/>
          <w:color w:val="000000"/>
          <w:sz w:val="18"/>
          <w:szCs w:val="18"/>
          <w:lang w:eastAsia="ru-RU"/>
        </w:rPr>
      </w:pPr>
      <w:r>
        <w:rPr/>
        <w:t xml:space="preserve">Фактические и плановые значения показателей развития ЦС ВО в эксплуатационной зоне ООО «Водоснабжение» на территории Беловского ГО приведены в таблице </w:t>
      </w:r>
      <w:r>
        <w:rPr/>
        <w:fldChar w:fldCharType="begin"/>
      </w:r>
      <w:r>
        <w:rPr/>
        <w:instrText xml:space="preserve"> REF _Ref158781792 \h </w:instrText>
      </w:r>
      <w:r>
        <w:rPr/>
        <w:fldChar w:fldCharType="separate"/>
      </w:r>
      <w:r>
        <w:rPr/>
        <w:t>Таблица 2.7.40</w:t>
      </w:r>
      <w:r>
        <w:rPr/>
        <w:fldChar w:fldCharType="end"/>
      </w:r>
      <w:r>
        <w:rPr/>
        <w:t>.</w:t>
      </w:r>
    </w:p>
    <w:p>
      <w:pPr>
        <w:pStyle w:val="Style34"/>
        <w:rPr/>
      </w:pPr>
      <w:bookmarkStart w:id="199" w:name="_Ref156940471"/>
      <w:r>
        <w:rPr/>
        <w:t xml:space="preserve">Таблица </w:t>
      </w:r>
      <w:r>
        <w:fldChar w:fldCharType="begin"/>
      </w:r>
      <w:r>
        <w:rPr/>
        <w:instrText xml:space="preserve">STYLEREF 2 \s</w:instrText>
      </w:r>
      <w:r>
        <w:rPr/>
      </w:r>
      <w:r>
        <w:rPr/>
        <w:fldChar w:fldCharType="separate"/>
      </w:r>
      <w:r>
        <w:rPr/>
        <w:t>2.7</w:t>
      </w:r>
      <w:r>
        <w:rPr/>
      </w:r>
      <w:r>
        <w:rPr/>
        <w:fldChar w:fldCharType="end"/>
      </w:r>
      <w:r>
        <w:rPr/>
        <w:t>.</w:t>
      </w:r>
      <w:r>
        <w:rPr/>
        <w:fldChar w:fldCharType="begin"/>
      </w:r>
      <w:r>
        <w:rPr/>
        <w:instrText xml:space="preserve"> SEQ Таблица \* ARABIC </w:instrText>
      </w:r>
      <w:r>
        <w:rPr/>
        <w:fldChar w:fldCharType="separate"/>
      </w:r>
      <w:r>
        <w:rPr/>
        <w:t>38</w:t>
      </w:r>
      <w:r>
        <w:rPr/>
        <w:fldChar w:fldCharType="end"/>
      </w:r>
      <w:bookmarkEnd w:id="199"/>
      <w:r>
        <w:rPr/>
        <w:t xml:space="preserve"> – Фактические и плановые значения показателей развития ЦС ВО в эксплуатационной зоне ООО «БелГОС»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378"/>
        <w:gridCol w:w="5659"/>
        <w:gridCol w:w="713"/>
        <w:gridCol w:w="520"/>
        <w:gridCol w:w="522"/>
        <w:gridCol w:w="521"/>
        <w:gridCol w:w="522"/>
        <w:gridCol w:w="521"/>
        <w:gridCol w:w="522"/>
        <w:gridCol w:w="520"/>
        <w:gridCol w:w="522"/>
        <w:gridCol w:w="521"/>
        <w:gridCol w:w="522"/>
        <w:gridCol w:w="521"/>
        <w:gridCol w:w="522"/>
        <w:gridCol w:w="520"/>
        <w:gridCol w:w="522"/>
        <w:gridCol w:w="518"/>
      </w:tblGrid>
      <w:tr>
        <w:trPr>
          <w:tblHeader w:val="true"/>
          <w:trHeight w:val="1124"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565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7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520" w:type="dxa"/>
            <w:tcBorders>
              <w:top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Фактические значения</w:t>
            </w:r>
          </w:p>
        </w:tc>
        <w:tc>
          <w:tcPr>
            <w:tcW w:w="7296" w:type="dxa"/>
            <w:gridSpan w:val="1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Плановые значения</w:t>
            </w:r>
          </w:p>
        </w:tc>
      </w:tr>
      <w:tr>
        <w:trPr>
          <w:tblHeader w:val="true"/>
          <w:trHeight w:val="20" w:hRule="atLeast"/>
        </w:trPr>
        <w:tc>
          <w:tcPr>
            <w:tcW w:w="37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65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7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2029</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2033</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2035</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2036</w:t>
            </w:r>
          </w:p>
        </w:tc>
      </w:tr>
      <w:tr>
        <w:trPr>
          <w:tblHeader w:val="true"/>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надежности и бесперебойности водоотведения</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аварий в расчете на протяженность канализационной сети в год</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3,08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3,05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3,02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2,81</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2,76</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2,73</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засоров в расчете на протяженность канализационной сети в год</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4,20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4,16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4,12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4,08</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4,03</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3,99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3,95</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3,91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3,88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3,84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3,80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3,76</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3,72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3,69</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3,65</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очистки сточных вод</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2,91%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2,85%</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2,80%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2,71%</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2,69%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2,66%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2,63%</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2,61%</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энергетической эффективности</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565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18"/>
                <w:szCs w:val="18"/>
                <w:lang w:eastAsia="ru-RU"/>
              </w:rPr>
            </w:pPr>
            <w:r>
              <w:rPr>
                <w:rFonts w:eastAsia="Times New Roman" w:cs="Times New Roman"/>
                <w:sz w:val="18"/>
                <w:szCs w:val="18"/>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7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кВт·ч/м³</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0,57</w:t>
            </w:r>
          </w:p>
        </w:tc>
      </w:tr>
    </w:tbl>
    <w:p>
      <w:pPr>
        <w:pStyle w:val="Normal"/>
        <w:rPr/>
      </w:pPr>
      <w:r>
        <w:rPr/>
      </w:r>
    </w:p>
    <w:p>
      <w:pPr>
        <w:pStyle w:val="Style34"/>
        <w:rPr/>
      </w:pPr>
      <w:bookmarkStart w:id="200" w:name="_Ref156940475"/>
      <w:r>
        <w:rPr/>
        <w:t xml:space="preserve">Таблица </w:t>
      </w:r>
      <w:r>
        <w:fldChar w:fldCharType="begin"/>
      </w:r>
      <w:r>
        <w:rPr/>
        <w:instrText xml:space="preserve">STYLEREF 2 \s</w:instrText>
      </w:r>
      <w:r>
        <w:rPr/>
      </w:r>
      <w:r>
        <w:rPr/>
        <w:fldChar w:fldCharType="separate"/>
      </w:r>
      <w:r>
        <w:rPr/>
        <w:t>2.7</w:t>
      </w:r>
      <w:r>
        <w:rPr/>
      </w:r>
      <w:r>
        <w:rPr/>
        <w:fldChar w:fldCharType="end"/>
      </w:r>
      <w:r>
        <w:rPr/>
        <w:t>.</w:t>
      </w:r>
      <w:r>
        <w:rPr/>
        <w:fldChar w:fldCharType="begin"/>
      </w:r>
      <w:r>
        <w:rPr/>
        <w:instrText xml:space="preserve"> SEQ Таблица \* ARABIC </w:instrText>
      </w:r>
      <w:r>
        <w:rPr/>
        <w:fldChar w:fldCharType="separate"/>
      </w:r>
      <w:r>
        <w:rPr/>
        <w:t>39</w:t>
      </w:r>
      <w:r>
        <w:rPr/>
        <w:fldChar w:fldCharType="end"/>
      </w:r>
      <w:bookmarkEnd w:id="200"/>
      <w:r>
        <w:rPr/>
        <w:t xml:space="preserve"> – Фактические и плановые значения показателей развития ЦС ВО в эксплуатационной зоне ООО «ЭК» на территории Беловского ГО</w:t>
      </w:r>
    </w:p>
    <w:tbl>
      <w:tblPr>
        <w:tblW w:w="14560" w:type="dxa"/>
        <w:jc w:val="left"/>
        <w:tblInd w:w="0" w:type="dxa"/>
        <w:tblLayout w:type="fixed"/>
        <w:tblCellMar>
          <w:top w:w="0" w:type="dxa"/>
          <w:left w:w="28" w:type="dxa"/>
          <w:bottom w:w="0" w:type="dxa"/>
          <w:right w:w="28" w:type="dxa"/>
        </w:tblCellMar>
        <w:tblLook w:noVBand="1" w:val="04a0" w:noHBand="0" w:lastColumn="0" w:firstColumn="1" w:lastRow="0" w:firstRow="1"/>
      </w:tblPr>
      <w:tblGrid>
        <w:gridCol w:w="378"/>
        <w:gridCol w:w="5655"/>
        <w:gridCol w:w="712"/>
        <w:gridCol w:w="520"/>
        <w:gridCol w:w="521"/>
        <w:gridCol w:w="521"/>
        <w:gridCol w:w="522"/>
        <w:gridCol w:w="521"/>
        <w:gridCol w:w="521"/>
        <w:gridCol w:w="520"/>
        <w:gridCol w:w="521"/>
        <w:gridCol w:w="521"/>
        <w:gridCol w:w="522"/>
        <w:gridCol w:w="521"/>
        <w:gridCol w:w="521"/>
        <w:gridCol w:w="520"/>
        <w:gridCol w:w="521"/>
        <w:gridCol w:w="518"/>
      </w:tblGrid>
      <w:tr>
        <w:trPr>
          <w:tblHeader w:val="true"/>
          <w:trHeight w:val="11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565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71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520" w:type="dxa"/>
            <w:tcBorders>
              <w:top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Фактические значения</w:t>
            </w:r>
          </w:p>
        </w:tc>
        <w:tc>
          <w:tcPr>
            <w:tcW w:w="7291" w:type="dxa"/>
            <w:gridSpan w:val="1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Плановые значения</w:t>
            </w:r>
          </w:p>
        </w:tc>
      </w:tr>
      <w:tr>
        <w:trPr>
          <w:tblHeader w:val="true"/>
          <w:trHeight w:val="20" w:hRule="atLeast"/>
        </w:trPr>
        <w:tc>
          <w:tcPr>
            <w:tcW w:w="37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65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7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2028</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2029</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2032</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2033</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2035</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2036</w:t>
            </w:r>
          </w:p>
        </w:tc>
      </w:tr>
      <w:tr>
        <w:trPr>
          <w:tblHeader w:val="true"/>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надежности и бесперебойности водоотведения</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аварий в расчете на протяженность канализационной сети в год</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засоров в расчете на протяженность канализационной сети в год</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0,99</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0,95</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0,90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0,89</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0,88</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0,87</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очистки сточных вод</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энергетической эффективности</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7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565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18"/>
                <w:szCs w:val="18"/>
                <w:lang w:eastAsia="ru-RU"/>
              </w:rPr>
            </w:pPr>
            <w:r>
              <w:rPr>
                <w:rFonts w:eastAsia="Times New Roman" w:cs="Times New Roman"/>
                <w:sz w:val="18"/>
                <w:szCs w:val="18"/>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7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кВт·ч/м³</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0,17</w:t>
            </w:r>
          </w:p>
        </w:tc>
      </w:tr>
    </w:tbl>
    <w:p>
      <w:pPr>
        <w:pStyle w:val="Normal"/>
        <w:rPr/>
      </w:pPr>
      <w:r>
        <w:rPr/>
      </w:r>
    </w:p>
    <w:p>
      <w:pPr>
        <w:pStyle w:val="Style34"/>
        <w:rPr/>
      </w:pPr>
      <w:bookmarkStart w:id="201" w:name="_Ref158781792"/>
      <w:r>
        <w:rPr/>
        <w:t xml:space="preserve">Таблица </w:t>
      </w:r>
      <w:r>
        <w:fldChar w:fldCharType="begin"/>
      </w:r>
      <w:r>
        <w:rPr/>
        <w:instrText xml:space="preserve">STYLEREF 2 \s</w:instrText>
      </w:r>
      <w:r>
        <w:rPr/>
      </w:r>
      <w:r>
        <w:rPr/>
        <w:fldChar w:fldCharType="separate"/>
      </w:r>
      <w:r>
        <w:rPr/>
        <w:t>2.7</w:t>
      </w:r>
      <w:r>
        <w:rPr/>
      </w:r>
      <w:r>
        <w:rPr/>
        <w:fldChar w:fldCharType="end"/>
      </w:r>
      <w:r>
        <w:rPr/>
        <w:t>.</w:t>
      </w:r>
      <w:r>
        <w:rPr/>
        <w:fldChar w:fldCharType="begin"/>
      </w:r>
      <w:r>
        <w:rPr/>
        <w:instrText xml:space="preserve"> SEQ Таблица \* ARABIC </w:instrText>
      </w:r>
      <w:r>
        <w:rPr/>
        <w:fldChar w:fldCharType="separate"/>
      </w:r>
      <w:r>
        <w:rPr/>
        <w:t>40</w:t>
      </w:r>
      <w:r>
        <w:rPr/>
        <w:fldChar w:fldCharType="end"/>
      </w:r>
      <w:bookmarkEnd w:id="201"/>
      <w:r>
        <w:rPr/>
        <w:t xml:space="preserve"> – Фактические и плановые значения показателей развития ЦС ВО в эксплуатационной зоне ООО «Водоснабжение» на территории Беловского ГО</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340"/>
        <w:gridCol w:w="5691"/>
        <w:gridCol w:w="711"/>
        <w:gridCol w:w="528"/>
        <w:gridCol w:w="522"/>
        <w:gridCol w:w="521"/>
        <w:gridCol w:w="522"/>
        <w:gridCol w:w="521"/>
        <w:gridCol w:w="522"/>
        <w:gridCol w:w="520"/>
        <w:gridCol w:w="522"/>
        <w:gridCol w:w="521"/>
        <w:gridCol w:w="522"/>
        <w:gridCol w:w="521"/>
        <w:gridCol w:w="522"/>
        <w:gridCol w:w="520"/>
        <w:gridCol w:w="522"/>
        <w:gridCol w:w="518"/>
      </w:tblGrid>
      <w:tr>
        <w:trPr>
          <w:tblHeader w:val="true"/>
          <w:trHeight w:val="1116" w:hRule="atLeast"/>
        </w:trPr>
        <w:tc>
          <w:tcPr>
            <w:tcW w:w="34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569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71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528" w:type="dxa"/>
            <w:tcBorders>
              <w:top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Фактические значения</w:t>
            </w:r>
          </w:p>
        </w:tc>
        <w:tc>
          <w:tcPr>
            <w:tcW w:w="7296" w:type="dxa"/>
            <w:gridSpan w:val="1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Плановые значения</w:t>
            </w:r>
          </w:p>
        </w:tc>
      </w:tr>
      <w:tr>
        <w:trPr>
          <w:tblHeader w:val="true"/>
          <w:trHeight w:val="20" w:hRule="atLeast"/>
        </w:trPr>
        <w:tc>
          <w:tcPr>
            <w:tcW w:w="34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69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71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2027</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2029</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2033</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2035</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2036</w:t>
            </w:r>
          </w:p>
        </w:tc>
      </w:tr>
      <w:tr>
        <w:trPr>
          <w:tblHeader w:val="true"/>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надежности и бесперебойности водоотведения</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аварий в расчете на протяженность канализационной сети в год</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0,45</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0,45</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0,44</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0,44</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0,43</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0,43</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0,42</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0,41</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0,41</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0,40</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Количество засоров в расчете на протяженность канализационной сети в год</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ед./км</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1,90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1,88</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1,83</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1,81</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1,79</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1,77</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1,75</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1,74</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1,72</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1,68</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1,67</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1,65</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очистки сточных вод</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0,00%</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Показатели энергетической эффективности</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r>
      <w:tr>
        <w:trPr>
          <w:trHeight w:val="20" w:hRule="atLeast"/>
        </w:trPr>
        <w:tc>
          <w:tcPr>
            <w:tcW w:w="34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56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18"/>
                <w:szCs w:val="18"/>
                <w:lang w:eastAsia="ru-RU"/>
              </w:rPr>
            </w:pPr>
            <w:r>
              <w:rPr>
                <w:rFonts w:eastAsia="Times New Roman" w:cs="Times New Roman"/>
                <w:sz w:val="18"/>
                <w:szCs w:val="18"/>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71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кВт·ч/м³</w:t>
            </w:r>
          </w:p>
        </w:tc>
        <w:tc>
          <w:tcPr>
            <w:tcW w:w="52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c>
          <w:tcPr>
            <w:tcW w:w="51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0,46</w:t>
            </w:r>
          </w:p>
        </w:tc>
      </w:tr>
    </w:tbl>
    <w:p>
      <w:pPr>
        <w:sectPr>
          <w:footerReference w:type="default" r:id="rId83"/>
          <w:footerReference w:type="first" r:id="rId84"/>
          <w:type w:val="nextPage"/>
          <w:pgSz w:orient="landscape" w:w="16838" w:h="11906"/>
          <w:pgMar w:left="1134" w:right="1134" w:gutter="0" w:header="0" w:top="1701" w:footer="709" w:bottom="851"/>
          <w:pgNumType w:fmt="decimal"/>
          <w:formProt w:val="false"/>
          <w:textDirection w:val="lrTb"/>
          <w:docGrid w:type="default" w:linePitch="360" w:charSpace="0"/>
        </w:sectPr>
      </w:pPr>
    </w:p>
    <w:p>
      <w:pPr>
        <w:pStyle w:val="3"/>
        <w:rPr/>
      </w:pPr>
      <w:bookmarkStart w:id="202" w:name="_Toc158814646"/>
      <w:r>
        <w:rPr/>
        <w:t>Показатели надежности и бесперебойности водоотведения</w:t>
      </w:r>
      <w:bookmarkEnd w:id="202"/>
    </w:p>
    <w:p>
      <w:pPr>
        <w:pStyle w:val="Normal"/>
        <w:rPr/>
      </w:pPr>
      <w:r>
        <w:rPr/>
        <w:t>Показатели надежности и бесперебойности водоотведения по ЦС ВО Беловского ГО приведены выше в начале раздела 2.7</w:t>
      </w:r>
      <w:r>
        <w:rPr/>
        <w:fldChar w:fldCharType="begin"/>
      </w:r>
      <w:r>
        <w:rPr/>
        <w:instrText xml:space="preserve"> REF _Ref156940706 \r \h </w:instrText>
      </w:r>
      <w:r>
        <w:rPr/>
        <w:fldChar w:fldCharType="separate"/>
      </w:r>
      <w:r>
        <w:rPr/>
        <w:t>Ошибка: источник перекрёстной ссылки не найден</w:t>
      </w:r>
      <w:r>
        <w:rPr/>
        <w:fldChar w:fldCharType="end"/>
      </w:r>
      <w:r>
        <w:rPr/>
        <w:t>.</w:t>
      </w:r>
    </w:p>
    <w:p>
      <w:pPr>
        <w:pStyle w:val="3"/>
        <w:rPr/>
      </w:pPr>
      <w:bookmarkStart w:id="203" w:name="_Toc158814647"/>
      <w:r>
        <w:rPr/>
        <w:t>Показатели очистки сточных вод</w:t>
      </w:r>
      <w:bookmarkEnd w:id="203"/>
    </w:p>
    <w:p>
      <w:pPr>
        <w:pStyle w:val="Normal"/>
        <w:rPr/>
      </w:pPr>
      <w:r>
        <w:rPr/>
        <w:t>Показатели очистки сточных вод по ЦС ВО Беловского ГО приведены выше в начале раздела 2.7.</w:t>
      </w:r>
    </w:p>
    <w:p>
      <w:pPr>
        <w:pStyle w:val="3"/>
        <w:rPr/>
      </w:pPr>
      <w:bookmarkStart w:id="204" w:name="_Toc158814648"/>
      <w:r>
        <w:rPr/>
        <w:t>Показатели эффективности использования ресурсов при транспортировке сточных вод</w:t>
      </w:r>
      <w:bookmarkEnd w:id="204"/>
    </w:p>
    <w:p>
      <w:pPr>
        <w:pStyle w:val="Normal"/>
        <w:rPr/>
      </w:pPr>
      <w:r>
        <w:rPr/>
        <w:t>Показатели эффективности использования ресурсов при транспортировке сточных вод по ЦС ВО Беловского ГО приведены выше в начале раздела 2.7.</w:t>
      </w:r>
    </w:p>
    <w:p>
      <w:pPr>
        <w:pStyle w:val="3"/>
        <w:rPr/>
      </w:pPr>
      <w:bookmarkStart w:id="205" w:name="_Toc158814649"/>
      <w:r>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End w:id="205"/>
    </w:p>
    <w:p>
      <w:pPr>
        <w:pStyle w:val="Normal"/>
        <w:rPr/>
      </w:pPr>
      <w:r>
        <w:rPr/>
        <w:t>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 иные показатели функционирования в сфере централизованного водоотведения на момент настоящей актуализации Схемы ВСиВО Беловского ГО не установлены.</w:t>
      </w:r>
    </w:p>
    <w:p>
      <w:pPr>
        <w:pStyle w:val="2"/>
        <w:rPr/>
      </w:pPr>
      <w:bookmarkStart w:id="206" w:name="_Toc158814650"/>
      <w:r>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206"/>
    </w:p>
    <w:p>
      <w:pPr>
        <w:pStyle w:val="3"/>
        <w:rPr/>
      </w:pPr>
      <w:bookmarkStart w:id="207" w:name="_Toc158814651"/>
      <w:r>
        <w:rPr/>
        <w:t>Перечень выявленных бесхозяйных объектов централизованной системы водоотведения, в том числе канализационных сетей (в случае их выявления), а также перечень организаций, эксплуатирующих такие объекты</w:t>
      </w:r>
      <w:bookmarkEnd w:id="207"/>
    </w:p>
    <w:p>
      <w:pPr>
        <w:pStyle w:val="Normal"/>
        <w:rPr/>
      </w:pPr>
      <w:r>
        <w:rPr/>
        <w:t>В соответствии с [</w:t>
      </w:r>
      <w:r>
        <w:rPr/>
        <w:fldChar w:fldCharType="begin"/>
      </w:r>
      <w:r>
        <w:rPr/>
        <w:instrText xml:space="preserve"> REF _Ref154925037 \n \h </w:instrText>
      </w:r>
      <w:r>
        <w:rPr/>
        <w:fldChar w:fldCharType="separate"/>
      </w:r>
      <w:r>
        <w:rPr/>
        <w:t>2</w:t>
      </w:r>
      <w:r>
        <w:rPr/>
        <w:fldChar w:fldCharType="end"/>
      </w:r>
      <w:r>
        <w:rPr/>
        <w:t>] по вопросам эксплуатации бесхозяйных объектов определено следующее:</w:t>
      </w:r>
    </w:p>
    <w:p>
      <w:pPr>
        <w:pStyle w:val="Normal"/>
        <w:rPr/>
      </w:pPr>
      <w:r>
        <w:rPr/>
        <w:t>1) пункт 5 статьи 8 главы 3: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pPr>
        <w:pStyle w:val="Normal"/>
        <w:rPr/>
      </w:pPr>
      <w:r>
        <w:rPr/>
        <w:t>2) пункт 6 статьи 8 главы 3: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pPr>
        <w:pStyle w:val="Normal"/>
        <w:rPr/>
      </w:pPr>
      <w:r>
        <w:rPr/>
        <w:t>3) пункт 7 статьи 8 главы 3: «В случае, 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w:t>
      </w:r>
    </w:p>
    <w:p>
      <w:pPr>
        <w:pStyle w:val="Normal"/>
        <w:rPr/>
      </w:pPr>
      <w:r>
        <w:rPr/>
        <w:t>На момент актуализации Схемы ВСиВО на территории Беловского ГО бесхозные объекты ЦС ВО выявлены не были.</w:t>
      </w:r>
    </w:p>
    <w:p>
      <w:pPr>
        <w:pStyle w:val="Normal"/>
        <w:rPr/>
      </w:pPr>
      <w:r>
        <w:rPr/>
      </w:r>
    </w:p>
    <w:p>
      <w:pPr>
        <w:pStyle w:val="Style27"/>
        <w:rPr/>
      </w:pPr>
      <w:bookmarkStart w:id="208" w:name="_Toc158814652"/>
      <w:r>
        <w:rPr/>
        <w:t>Заключение</w:t>
      </w:r>
      <w:bookmarkEnd w:id="208"/>
    </w:p>
    <w:p>
      <w:pPr>
        <w:pStyle w:val="Normal"/>
        <w:rPr/>
      </w:pPr>
      <w:r>
        <w:rPr/>
        <w:t>В ходе работ на основании действующей нормативной документацией в сфере водоснабжения и водоотведения были проанализированы:</w:t>
      </w:r>
    </w:p>
    <w:p>
      <w:pPr>
        <w:pStyle w:val="Style31"/>
        <w:numPr>
          <w:ilvl w:val="0"/>
          <w:numId w:val="162"/>
        </w:numPr>
        <w:rPr/>
      </w:pPr>
      <w:r>
        <w:rPr/>
        <w:t>Технико-экономическое состояние централизованных систем водоснабжения и водоотведения Беловского городского округа по состоянию на конец 2023 года;</w:t>
      </w:r>
    </w:p>
    <w:p>
      <w:pPr>
        <w:pStyle w:val="Style31"/>
        <w:numPr>
          <w:ilvl w:val="0"/>
          <w:numId w:val="2"/>
        </w:numPr>
        <w:rPr/>
      </w:pPr>
      <w:r>
        <w:rPr/>
        <w:t>Утвержденные документы территориального планирования Беловского городского округа;</w:t>
      </w:r>
    </w:p>
    <w:p>
      <w:pPr>
        <w:pStyle w:val="Style31"/>
        <w:numPr>
          <w:ilvl w:val="0"/>
          <w:numId w:val="2"/>
        </w:numPr>
        <w:rPr/>
      </w:pPr>
      <w:r>
        <w:rPr/>
        <w:t xml:space="preserve">Существующие инвестиционные программы Организаций ВКХ, планы, программы по развитию систем водоснабжения и водоотведения Беловского городского округа. </w:t>
      </w:r>
    </w:p>
    <w:p>
      <w:pPr>
        <w:pStyle w:val="Normal"/>
        <w:rPr/>
      </w:pPr>
      <w:r>
        <w:rPr/>
        <w:t xml:space="preserve">Вследствие проведенного анализа был разработан комплекс мероприятий в части строительства, реконструкции, технического перевооружения и (или) модернизации объектов централизованных систем водоснабжения и водоотведения, в соответствии с которыми сформированы перспективные балансы водоснабжения и потребления горячей, питьевой, технической воды, перспективные балансы сточных вод в системе водоотведения, а также определены плановые значения показателей развития централизованных систем водоснабжения и водоотведения. </w:t>
      </w:r>
    </w:p>
    <w:p>
      <w:pPr>
        <w:pStyle w:val="Normal"/>
        <w:rPr/>
      </w:pPr>
      <w:r>
        <w:rPr/>
        <w:t>В составе электронной модели, разработанной в географической информационной системе ZuluGIS с применением программно-расчетных комплексов ZuluHydro и ZuluDrain, выполнены гидравлические расчеты существующих (по состоянию на конец 2023 года) и перспективных (на конец 2036 года) режимов работы водопроводных и канализационных сетей Беловского городского округа.</w:t>
      </w:r>
    </w:p>
    <w:p>
      <w:pPr>
        <w:pStyle w:val="Normal"/>
        <w:rPr/>
      </w:pPr>
      <w:r>
        <w:rPr/>
      </w:r>
    </w:p>
    <w:p>
      <w:pPr>
        <w:pStyle w:val="Style27"/>
        <w:rPr/>
      </w:pPr>
      <w:bookmarkStart w:id="209" w:name="_Toc158814653"/>
      <w:r>
        <w:rPr/>
        <w:t>Список использованных источников</w:t>
      </w:r>
      <w:bookmarkEnd w:id="209"/>
    </w:p>
    <w:p>
      <w:pPr>
        <w:pStyle w:val="Style33"/>
        <w:numPr>
          <w:ilvl w:val="0"/>
          <w:numId w:val="3"/>
        </w:numPr>
        <w:rPr/>
      </w:pPr>
      <w:bookmarkStart w:id="210" w:name="_Ref154862887"/>
      <w:r>
        <w:rPr/>
        <w:t>Указ Президента Российской Федерации от 30.11.1995 № 1203 «Об утверждении перечня сведений, отнесенных к государственной тайне».</w:t>
      </w:r>
      <w:bookmarkEnd w:id="210"/>
    </w:p>
    <w:p>
      <w:pPr>
        <w:pStyle w:val="Style33"/>
        <w:numPr>
          <w:ilvl w:val="0"/>
          <w:numId w:val="3"/>
        </w:numPr>
        <w:rPr/>
      </w:pPr>
      <w:bookmarkStart w:id="211" w:name="_Ref154925037"/>
      <w:r>
        <w:rPr/>
        <w:t>Федеральный закон Российской Федерации от 07.12.2011 № 416-ФЗ «О водоснабжении и водоотведении».</w:t>
      </w:r>
      <w:bookmarkEnd w:id="211"/>
    </w:p>
    <w:p>
      <w:pPr>
        <w:pStyle w:val="Style33"/>
        <w:numPr>
          <w:ilvl w:val="0"/>
          <w:numId w:val="3"/>
        </w:numPr>
        <w:rPr/>
      </w:pPr>
      <w:bookmarkStart w:id="212" w:name="_Ref154925043"/>
      <w:r>
        <w:rPr/>
        <w:t>Постановление Правительства Российской Федерации от 05.09.2013 № 782 «О схемах водоснабжения и водоотведения».</w:t>
      </w:r>
      <w:bookmarkEnd w:id="212"/>
    </w:p>
    <w:p>
      <w:pPr>
        <w:pStyle w:val="Style33"/>
        <w:numPr>
          <w:ilvl w:val="0"/>
          <w:numId w:val="3"/>
        </w:numPr>
        <w:rPr/>
      </w:pPr>
      <w:bookmarkStart w:id="213" w:name="_Ref154926740"/>
      <w:r>
        <w:rPr/>
        <w:t>Генеральный план Беловского городского округа Кемеровской области, утвержденный решением Беловского городского совета народных депутатов от 24.12.2009 № 19/220-н (в редакции с изменениями и дополнениями, утвержденными решением Совета народных депутатов Беловского городского округа от 29.06.2023 № 67/366-н).</w:t>
      </w:r>
      <w:bookmarkEnd w:id="213"/>
      <w:r>
        <w:rPr/>
        <w:t xml:space="preserve"> </w:t>
      </w:r>
    </w:p>
    <w:p>
      <w:pPr>
        <w:pStyle w:val="Style33"/>
        <w:numPr>
          <w:ilvl w:val="0"/>
          <w:numId w:val="3"/>
        </w:numPr>
        <w:rPr/>
      </w:pPr>
      <w:bookmarkStart w:id="214" w:name="_Ref156887085"/>
      <w:r>
        <w:rPr/>
        <w:t>Федеральный закон от 23.11.2009 № 261</w:t>
        <w:noBreakHyphen/>
        <w:t>ФЗ «Об энергосбережении и о повышении энергетической эффективности и о внесении изменений в отдельные законодательные акты Российской Федерации».</w:t>
      </w:r>
      <w:bookmarkEnd w:id="214"/>
    </w:p>
    <w:p>
      <w:pPr>
        <w:pStyle w:val="Style33"/>
        <w:numPr>
          <w:ilvl w:val="0"/>
          <w:numId w:val="3"/>
        </w:numPr>
        <w:rPr/>
      </w:pPr>
      <w:bookmarkStart w:id="215" w:name="_Ref154934015"/>
      <w:r>
        <w:rPr/>
        <w:t>Приказ Государственного комитета Российской Федерации по строительству и жилищно-коммунальному комплексу от 30.12.1999 № 168 «Об утверждении «Правил технической эксплуатации систем и сооружений коммунального водоснабжения и канализации».</w:t>
      </w:r>
      <w:bookmarkEnd w:id="215"/>
    </w:p>
    <w:p>
      <w:pPr>
        <w:pStyle w:val="Style33"/>
        <w:numPr>
          <w:ilvl w:val="0"/>
          <w:numId w:val="3"/>
        </w:numPr>
        <w:rPr/>
      </w:pPr>
      <w:bookmarkStart w:id="216" w:name="_Ref154934664"/>
      <w:r>
        <w:rPr/>
        <w:t>Государственный стандарт Союза ССР ГОСТ 19179-73 «Гидрология суши. Термины и определения», утвержденный и введенный в действие постановлением Государственного комитета стандартов Совета Министров СССР от 29.10.1973 № 2394.</w:t>
      </w:r>
      <w:bookmarkEnd w:id="216"/>
    </w:p>
    <w:p>
      <w:pPr>
        <w:pStyle w:val="Style33"/>
        <w:numPr>
          <w:ilvl w:val="0"/>
          <w:numId w:val="3"/>
        </w:numPr>
        <w:rPr/>
      </w:pPr>
      <w:bookmarkStart w:id="217" w:name="_Ref154934980"/>
      <w:r>
        <w:rPr/>
        <w:t>Национальный стандарт Российской Федерации ГОСТ Р 70214-2022 «Гидротехника. Основные понятия. Термины и определения», утвержденный и введенный в действие приказом Федерального агентства по техническому регулированию и метрологии от 13.07.2022 № 619-ст.</w:t>
      </w:r>
      <w:bookmarkEnd w:id="217"/>
    </w:p>
    <w:p>
      <w:pPr>
        <w:pStyle w:val="Style33"/>
        <w:numPr>
          <w:ilvl w:val="0"/>
          <w:numId w:val="3"/>
        </w:numPr>
        <w:rPr/>
      </w:pPr>
      <w:bookmarkStart w:id="218" w:name="_Ref154935401"/>
      <w:r>
        <w:rPr/>
        <w:t>Государственный стандарт Союза ССР ГОСТ 25151-82 (СТ СЭВ 2084-80) «Водоснабжение. Термины и определения», утвержденный и введенный в действие постановлением Государственного комитета СССР по стандартам от 25.02.1982 № 830.</w:t>
      </w:r>
      <w:bookmarkEnd w:id="218"/>
    </w:p>
    <w:p>
      <w:pPr>
        <w:pStyle w:val="Style33"/>
        <w:numPr>
          <w:ilvl w:val="0"/>
          <w:numId w:val="3"/>
        </w:numPr>
        <w:rPr/>
      </w:pPr>
      <w:bookmarkStart w:id="219" w:name="_Ref155182844"/>
      <w:bookmarkStart w:id="220" w:name="_Hlk155185459"/>
      <w:r>
        <w:rPr/>
        <w:t xml:space="preserve">Национальный стандарт Российской Федерации </w:t>
      </w:r>
      <w:bookmarkEnd w:id="220"/>
      <w:r>
        <w:rPr/>
        <w:t>ГОСТ Р 59053-2020 «Охрана окружающей среды. Охрана и рациональное использование вод. Термины и определения», утвержденный и введенный в действие приказом Федерального агентства по техническому регулированию и метрологии от 30.09.2020 № 705-ст.</w:t>
      </w:r>
      <w:bookmarkEnd w:id="219"/>
    </w:p>
    <w:p>
      <w:pPr>
        <w:pStyle w:val="Style33"/>
        <w:numPr>
          <w:ilvl w:val="0"/>
          <w:numId w:val="3"/>
        </w:numPr>
        <w:rPr/>
      </w:pPr>
      <w:bookmarkStart w:id="221" w:name="_Ref155183642"/>
      <w:r>
        <w:rPr/>
        <w:t>Государственный стандарт Союза ССР ГОСТ 25150-82 «Канализация. Термины и определения», утвержденный постановлением Государственного комитета СССР по стандартам от 24.02.1982 № 805.</w:t>
      </w:r>
      <w:bookmarkEnd w:id="221"/>
    </w:p>
    <w:p>
      <w:pPr>
        <w:pStyle w:val="Style33"/>
        <w:numPr>
          <w:ilvl w:val="0"/>
          <w:numId w:val="3"/>
        </w:numPr>
        <w:rPr/>
      </w:pPr>
      <w:bookmarkStart w:id="222" w:name="_Ref155184682"/>
      <w:r>
        <w:rPr/>
        <w:t>Межгосударственный стандарт ГОСТ 30813-2002 «Вода и водоподготовка. Термины и определения», введенный в действие постановлением Государственного комитета Российской Федерации по стандартизации и метрологии от 12.11.2002 № 409-ст.</w:t>
      </w:r>
      <w:bookmarkEnd w:id="222"/>
      <w:r>
        <w:rPr/>
        <w:t xml:space="preserve"> </w:t>
      </w:r>
    </w:p>
    <w:p>
      <w:pPr>
        <w:pStyle w:val="Style33"/>
        <w:numPr>
          <w:ilvl w:val="0"/>
          <w:numId w:val="3"/>
        </w:numPr>
        <w:rPr/>
      </w:pPr>
      <w:bookmarkStart w:id="223" w:name="_Ref155185658"/>
      <w:r>
        <w:rPr/>
        <w:t>Национальный стандарт Российской Федерации ГОСТ Р 70707-2023 «Установки компактные для очистки бытовых сточных вод. Общие технические условия», утвержденный и введенный в действие приказом Федерального агентства по техническому регулированию и метрологии от 04.04.2023 № 184-ст.</w:t>
      </w:r>
      <w:bookmarkEnd w:id="223"/>
    </w:p>
    <w:p>
      <w:pPr>
        <w:pStyle w:val="Style33"/>
        <w:numPr>
          <w:ilvl w:val="0"/>
          <w:numId w:val="3"/>
        </w:numPr>
        <w:rPr/>
      </w:pPr>
      <w:bookmarkStart w:id="224" w:name="_Ref155186900"/>
      <w:r>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bookmarkEnd w:id="224"/>
    </w:p>
    <w:p>
      <w:pPr>
        <w:pStyle w:val="Style33"/>
        <w:numPr>
          <w:ilvl w:val="0"/>
          <w:numId w:val="3"/>
        </w:numPr>
        <w:rPr/>
      </w:pPr>
      <w:bookmarkStart w:id="225" w:name="_Ref155189063"/>
      <w:r>
        <w:rPr/>
        <w:t>Свод правил СП 517.1325800.2022 «Эксплуатация централизованных систем, сооружений водоснабжения и водоотведения», утвержденный приказом Министерства строительства и жилищно-коммунального хозяйства Российской Федерации от 06.06.2022 № 453/пр.</w:t>
      </w:r>
      <w:bookmarkEnd w:id="225"/>
    </w:p>
    <w:p>
      <w:pPr>
        <w:pStyle w:val="Style33"/>
        <w:numPr>
          <w:ilvl w:val="0"/>
          <w:numId w:val="3"/>
        </w:numPr>
        <w:rPr/>
      </w:pPr>
      <w:r>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pPr>
        <w:pStyle w:val="Style33"/>
        <w:numPr>
          <w:ilvl w:val="0"/>
          <w:numId w:val="3"/>
        </w:numPr>
        <w:rPr/>
      </w:pPr>
      <w:bookmarkStart w:id="226" w:name="_Ref156858215"/>
      <w:r>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bookmarkEnd w:id="226"/>
    </w:p>
    <w:p>
      <w:pPr>
        <w:pStyle w:val="Style33"/>
        <w:numPr>
          <w:ilvl w:val="0"/>
          <w:numId w:val="3"/>
        </w:numPr>
        <w:rPr/>
      </w:pPr>
      <w:r>
        <w:rPr/>
        <w:t>Приказ Министерства строительства и жилищно-коммунального хозяйства Российской Федерации от 05.08.2014 № 437/пр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холодного и горячего водоснабжения, и порядка осуществления мониторинга таких показателей».</w:t>
      </w:r>
    </w:p>
    <w:p>
      <w:pPr>
        <w:pStyle w:val="Style33"/>
        <w:numPr>
          <w:ilvl w:val="0"/>
          <w:numId w:val="3"/>
        </w:numPr>
        <w:rPr/>
      </w:pPr>
      <w:bookmarkStart w:id="227" w:name="_Ref155464429"/>
      <w:r>
        <w:rPr/>
        <w:t>Свод правил СП 31.13330.2021 «СНиП 2.04.02-84* Водоснабжение. Наружные сети и сооружения», утвержденный приказом Министерства строительства и жилищно-коммунального хозяйства Российской Федерации от 27.12.2021 № 1016/пр.</w:t>
      </w:r>
      <w:bookmarkEnd w:id="227"/>
      <w:r>
        <w:rPr/>
        <w:t xml:space="preserve"> </w:t>
      </w:r>
    </w:p>
    <w:p>
      <w:pPr>
        <w:pStyle w:val="Style33"/>
        <w:numPr>
          <w:ilvl w:val="0"/>
          <w:numId w:val="3"/>
        </w:numPr>
        <w:rPr/>
      </w:pPr>
      <w:r>
        <w:rPr/>
        <w:t xml:space="preserve"> </w:t>
      </w:r>
      <w:bookmarkStart w:id="228" w:name="_Ref156560288"/>
      <w:r>
        <w:rPr/>
        <w:t>Приказ Министерства строительства и жилищно-коммунального хозяйства Российской Федерации от 04.04.2014 № 162/пр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bookmarkEnd w:id="228"/>
    </w:p>
    <w:p>
      <w:pPr>
        <w:pStyle w:val="Style33"/>
        <w:numPr>
          <w:ilvl w:val="0"/>
          <w:numId w:val="3"/>
        </w:numPr>
        <w:rPr/>
      </w:pPr>
      <w:bookmarkStart w:id="229" w:name="_Ref156887509"/>
      <w:r>
        <w:rPr/>
        <w:t>Постановление Правительства Российской Федерации от 13.08.2006 № 491 «Об утверждении Правил содержания общего имущества в многоквартирном доме и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bookmarkEnd w:id="229"/>
      <w:r>
        <w:rPr/>
        <w:t xml:space="preserve"> </w:t>
      </w:r>
    </w:p>
    <w:p>
      <w:pPr>
        <w:pStyle w:val="Style33"/>
        <w:numPr>
          <w:ilvl w:val="0"/>
          <w:numId w:val="3"/>
        </w:numPr>
        <w:rPr/>
      </w:pPr>
      <w:bookmarkStart w:id="230" w:name="_Ref156881100"/>
      <w:r>
        <w:rPr/>
        <w:t>Приказ департамента жилищно-коммунального и дорожного комплекса Кемеровской области от 23.12.2014 № 101 «Об установлении нормативов потребления коммунальных услуг при отсутствии приборов учета на территории Беловского городского округа».</w:t>
      </w:r>
      <w:bookmarkEnd w:id="230"/>
      <w:r>
        <w:rPr/>
        <w:t xml:space="preserve"> </w:t>
      </w:r>
    </w:p>
    <w:p>
      <w:pPr>
        <w:pStyle w:val="Style33"/>
        <w:numPr>
          <w:ilvl w:val="0"/>
          <w:numId w:val="3"/>
        </w:numPr>
        <w:rPr/>
      </w:pPr>
      <w:bookmarkStart w:id="231" w:name="_Ref156931289"/>
      <w:r>
        <w:rPr/>
        <w:t>Постановление Администрации Беловского ГО от 01.09.2023 № 2629-п «Об утверждении Схемы теплоснабжения Беловского городского округа до 2030 года. Актуализация на 2024 год».</w:t>
      </w:r>
      <w:bookmarkEnd w:id="231"/>
    </w:p>
    <w:p>
      <w:pPr>
        <w:pStyle w:val="Style33"/>
        <w:numPr>
          <w:ilvl w:val="0"/>
          <w:numId w:val="3"/>
        </w:numPr>
        <w:rPr/>
      </w:pPr>
      <w:bookmarkStart w:id="232" w:name="_Ref156942173"/>
      <w:r>
        <w:rPr/>
        <w:t>Постановление Администрации Беловского ГО от 28.11.2014 № 328-п «О присвоении статуса гарантирующей организации, осуществляющей холодное водоснабжение, с указанием зоны ее деятельности».</w:t>
      </w:r>
      <w:bookmarkEnd w:id="232"/>
    </w:p>
    <w:p>
      <w:pPr>
        <w:pStyle w:val="Style33"/>
        <w:numPr>
          <w:ilvl w:val="0"/>
          <w:numId w:val="3"/>
        </w:numPr>
        <w:rPr/>
      </w:pPr>
      <w:bookmarkStart w:id="233" w:name="_Ref156946183"/>
      <w:r>
        <w:rPr/>
        <w:t>Приказ Министерства строительства и жилищно-коммунального хозяйства Российской Федерации от 29.05.2019 № 314/пр «Об утверждении Методики разработки и применения укрупненных нормативов цены строительства, а также порядка их утверждения».</w:t>
      </w:r>
      <w:bookmarkEnd w:id="233"/>
    </w:p>
    <w:p>
      <w:pPr>
        <w:pStyle w:val="Style33"/>
        <w:numPr>
          <w:ilvl w:val="0"/>
          <w:numId w:val="3"/>
        </w:numPr>
        <w:rPr/>
      </w:pPr>
      <w:bookmarkStart w:id="234" w:name="_Ref156946189"/>
      <w:r>
        <w:rPr/>
        <w:t>Приказ Министерства строительства и жилищно-коммунального хозяйства Российской Федерации от 06.03.2023 № 159/пр «Об утверждении укрупненных нормативов цены строительства «Укрупненные нормативы цены строительства. НЦС 81-02-14-2023. Сборник № 14. Наружные сети водоснабжения и канализации».</w:t>
      </w:r>
      <w:bookmarkEnd w:id="234"/>
      <w:r>
        <w:rPr/>
        <w:t xml:space="preserve"> </w:t>
      </w:r>
    </w:p>
    <w:p>
      <w:pPr>
        <w:pStyle w:val="Style33"/>
        <w:numPr>
          <w:ilvl w:val="0"/>
          <w:numId w:val="3"/>
        </w:numPr>
        <w:rPr/>
      </w:pPr>
      <w:bookmarkStart w:id="235" w:name="_Ref156946192"/>
      <w:r>
        <w:rPr/>
        <w:t>Приказ Министерства строительства и жилищно-коммунального хозяйства Российской Федерации от 14.03.2023 № 183/пр «Об утверждении укрупненных нормативов цены строительства «Укрупненные нормативы цены строительства. НЦС 81-02-19-2023. Сборник № 19. Здания и сооружения городской инфраструктуры».</w:t>
      </w:r>
      <w:bookmarkEnd w:id="235"/>
      <w:r>
        <w:rPr/>
        <w:t xml:space="preserve"> </w:t>
      </w:r>
    </w:p>
    <w:p>
      <w:pPr>
        <w:pStyle w:val="Style33"/>
        <w:numPr>
          <w:ilvl w:val="0"/>
          <w:numId w:val="3"/>
        </w:numPr>
        <w:rPr/>
      </w:pPr>
      <w:bookmarkStart w:id="236" w:name="_Ref156942609"/>
      <w:r>
        <w:rPr/>
        <w:t>Постановление Правительства Российской Федерации от 31.05.2019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 782».</w:t>
      </w:r>
      <w:bookmarkEnd w:id="236"/>
    </w:p>
    <w:p>
      <w:pPr>
        <w:pStyle w:val="Style33"/>
        <w:numPr>
          <w:ilvl w:val="0"/>
          <w:numId w:val="3"/>
        </w:numPr>
        <w:rPr/>
      </w:pPr>
      <w:bookmarkStart w:id="237" w:name="_Ref156928201"/>
      <w:r>
        <w:rPr/>
        <w:t>Приказ Министерства строительства и жилищно-коммунального хозяйства Российской Федерации от 30.12.2016 № 1034/пр «Об утверждении СП 42.13330 «СНиП 2.07.01 89* Градостроительство. Планировка и застройка городских и сельских поселений».</w:t>
      </w:r>
      <w:bookmarkEnd w:id="237"/>
    </w:p>
    <w:p>
      <w:pPr>
        <w:pStyle w:val="Style33"/>
        <w:numPr>
          <w:ilvl w:val="0"/>
          <w:numId w:val="3"/>
        </w:numPr>
        <w:rPr/>
      </w:pPr>
      <w:bookmarkStart w:id="238" w:name="_Ref156928208"/>
      <w:r>
        <w:rPr/>
        <w:t>Приказ Министерства строительства и жилищно-коммунального хозяйства Российской Федерации от 25.12.2018 № 860/пр «Об утверждении СП 32.13330.2018 «СНиП 2.04.03-85. Канализация. Наружные сети и сооружения».</w:t>
      </w:r>
      <w:bookmarkEnd w:id="238"/>
    </w:p>
    <w:p>
      <w:pPr>
        <w:pStyle w:val="Style33"/>
        <w:numPr>
          <w:ilvl w:val="0"/>
          <w:numId w:val="3"/>
        </w:numPr>
        <w:rPr/>
      </w:pPr>
      <w:bookmarkStart w:id="239" w:name="_Ref156928222"/>
      <w:r>
        <w:rPr/>
        <w:t>Приказ Министерства строительства и жилищно-коммунального хозяйства Российской Федерации от 31.12.2019 № 925/пр «Об утверждении СП 129.13330.2019 «СНиП 3.05.04 85* Наружные сети и сооружения водоснабжения и канализации».</w:t>
      </w:r>
      <w:bookmarkEnd w:id="239"/>
    </w:p>
    <w:p>
      <w:pPr>
        <w:pStyle w:val="Style33"/>
        <w:numPr>
          <w:ilvl w:val="0"/>
          <w:numId w:val="3"/>
        </w:numPr>
        <w:rPr/>
      </w:pPr>
      <w:bookmarkStart w:id="240" w:name="_Ref156928229"/>
      <w:r>
        <w:rPr/>
        <w:t>Приказ Министерства строительства и жилищно-коммунального хозяйства Российской Федерации от 17.09.2019 № 544/пр «Об утверждении СП 18.13330.2019 «Производственные объекты. Планировочная организация земельного участка» (СНиП П 89 80* «Генеральные планы промышленных предприятий»)».</w:t>
      </w:r>
      <w:bookmarkEnd w:id="240"/>
    </w:p>
    <w:p>
      <w:pPr>
        <w:pStyle w:val="Normal"/>
        <w:rPr/>
      </w:pPr>
      <w:r>
        <w:rPr/>
      </w:r>
    </w:p>
    <w:p>
      <w:pPr>
        <w:pStyle w:val="Style27"/>
        <w:rPr/>
      </w:pPr>
      <w:bookmarkStart w:id="241" w:name="_Toc158814654"/>
      <w:bookmarkStart w:id="242" w:name="ПриложениеП1"/>
      <w:r>
        <w:rPr/>
        <w:t>Приложение П-1</w:t>
      </w:r>
      <w:bookmarkEnd w:id="241"/>
      <w:bookmarkEnd w:id="242"/>
    </w:p>
    <w:p>
      <w:pPr>
        <w:pStyle w:val="Normal"/>
        <w:rPr/>
      </w:pPr>
      <w:r>
        <w:rPr/>
        <w:t xml:space="preserve">Представителями ООО «ЭК» был составлен акт в том, что в период с 02.10.2023 по 06.10.2023 произведен осмотр технического состояния пожарных гидрантов, произведено испытание пожарных гидрантов на водоотдачу, результаты которого приведены в таблице </w:t>
      </w:r>
      <w:r>
        <w:rPr/>
        <w:fldChar w:fldCharType="begin"/>
      </w:r>
      <w:r>
        <w:rPr/>
        <w:instrText xml:space="preserve"> REF ТаблицаП1 \p \h </w:instrText>
      </w:r>
      <w:r>
        <w:rPr/>
        <w:fldChar w:fldCharType="separate"/>
      </w:r>
      <w:r>
        <w:rPr/>
        <w:t>ниже</w:t>
      </w:r>
      <w:r>
        <w:rPr/>
        <w:fldChar w:fldCharType="end"/>
      </w:r>
      <w:r>
        <w:rPr/>
        <w:t xml:space="preserve">. </w:t>
      </w:r>
    </w:p>
    <w:p>
      <w:pPr>
        <w:pStyle w:val="Style34"/>
        <w:rPr/>
      </w:pPr>
      <w:bookmarkStart w:id="243" w:name="ТаблицаП1"/>
      <w:r>
        <w:rPr/>
        <w:t>Таблица П-1</w:t>
      </w:r>
      <w:bookmarkEnd w:id="243"/>
      <w:r>
        <w:rPr/>
        <w:t>.1 – Акт испытания пожарных гидрантов на водоотдачу от 06.10.2023</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30"/>
        <w:gridCol w:w="376"/>
        <w:gridCol w:w="2168"/>
        <w:gridCol w:w="1136"/>
        <w:gridCol w:w="1135"/>
        <w:gridCol w:w="1277"/>
        <w:gridCol w:w="1278"/>
        <w:gridCol w:w="1554"/>
      </w:tblGrid>
      <w:tr>
        <w:trPr>
          <w:tblHeader w:val="true"/>
          <w:trHeight w:val="20" w:hRule="atLeast"/>
        </w:trPr>
        <w:tc>
          <w:tcPr>
            <w:tcW w:w="4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п.п.</w:t>
            </w:r>
          </w:p>
        </w:tc>
        <w:tc>
          <w:tcPr>
            <w:tcW w:w="37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 xml:space="preserve">№ </w:t>
            </w:r>
            <w:r>
              <w:rPr>
                <w:rFonts w:eastAsia="Times New Roman" w:cs="Times New Roman"/>
                <w:sz w:val="20"/>
                <w:szCs w:val="20"/>
                <w:lang w:eastAsia="ru-RU"/>
              </w:rPr>
              <w:t>ПГ</w:t>
            </w:r>
          </w:p>
        </w:tc>
        <w:tc>
          <w:tcPr>
            <w:tcW w:w="216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Адрес расположения</w:t>
            </w:r>
          </w:p>
        </w:tc>
        <w:tc>
          <w:tcPr>
            <w:tcW w:w="113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Диам. и вид сети (мм)</w:t>
            </w:r>
          </w:p>
        </w:tc>
        <w:tc>
          <w:tcPr>
            <w:tcW w:w="113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Напор в сети (кгс/м</w:t>
            </w:r>
            <w:r>
              <w:rPr>
                <w:rFonts w:eastAsia="Times New Roman" w:cs="Times New Roman"/>
                <w:sz w:val="20"/>
                <w:szCs w:val="20"/>
                <w:vertAlign w:val="superscript"/>
                <w:lang w:eastAsia="ru-RU"/>
              </w:rPr>
              <w:t>2</w:t>
            </w:r>
            <w:r>
              <w:rPr>
                <w:rFonts w:eastAsia="Times New Roman" w:cs="Times New Roman"/>
                <w:sz w:val="20"/>
                <w:szCs w:val="20"/>
                <w:lang w:eastAsia="ru-RU"/>
              </w:rPr>
              <w:t>)</w:t>
            </w:r>
          </w:p>
        </w:tc>
        <w:tc>
          <w:tcPr>
            <w:tcW w:w="12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Водоотдача (л/с), диаметр сопла 25 мм</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Количество, диаметр ГМ</w:t>
            </w:r>
          </w:p>
        </w:tc>
        <w:tc>
          <w:tcPr>
            <w:tcW w:w="155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Ведомственная принадлежность</w:t>
            </w:r>
          </w:p>
        </w:tc>
      </w:tr>
      <w:tr>
        <w:trPr>
          <w:tblHeader w:val="true"/>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Мартовская 22</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21</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10,51</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9</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5</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6</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Весенняя 34</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7</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Весеняя 14</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Ул. 50лет Октября 27 </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9,96</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Котельная ПСХ-2</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23,50</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Ижевская 65/2</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6,88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28</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8,43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50 лет Октября 7</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1а</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16</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40 (АТС)</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10,64</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17</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19</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Рокоссовского 29</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1,8</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19</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10,51</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71 (ПКНС Бачатский)</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3,8</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14,05</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Греческий 103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22</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10</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23</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 xml:space="preserve">Ул. Шевцовой 66 </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10,64</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Греческий 116</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3,8</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13,02</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25</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Греческий 120</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3,6</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26</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Греческий 13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27</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58</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10,64</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63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11,49</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29</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56</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Т-200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10,64</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Рябиновая 13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31</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Березовая 38 (УКК)</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2,1</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9,96</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32</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Весенняя 26</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33</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35</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73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36</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47</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2,8</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10,96</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35</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37</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53</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11,98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36</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38</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Комсомольская 57</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12,02</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37</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39</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Мартовская 26</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2,0</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9,73</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38</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40</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Ул. Шевцовой 37 (стадион)</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К-300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12,02</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r>
        <w:trPr>
          <w:trHeight w:val="20" w:hRule="atLeast"/>
        </w:trPr>
        <w:tc>
          <w:tcPr>
            <w:tcW w:w="43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39</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41</w:t>
            </w:r>
          </w:p>
        </w:tc>
        <w:tc>
          <w:tcPr>
            <w:tcW w:w="21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sz w:val="20"/>
                <w:szCs w:val="20"/>
                <w:lang w:eastAsia="ru-RU"/>
              </w:rPr>
            </w:pPr>
            <w:r>
              <w:rPr>
                <w:rFonts w:eastAsia="Times New Roman" w:cs="Times New Roman"/>
                <w:sz w:val="20"/>
                <w:szCs w:val="20"/>
                <w:lang w:eastAsia="ru-RU"/>
              </w:rPr>
              <w:t>Мкр. Финский 20</w:t>
            </w:r>
          </w:p>
        </w:tc>
        <w:tc>
          <w:tcPr>
            <w:tcW w:w="113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Т-100</w:t>
            </w:r>
          </w:p>
        </w:tc>
        <w:tc>
          <w:tcPr>
            <w:tcW w:w="113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1,4</w:t>
            </w:r>
          </w:p>
        </w:tc>
        <w:tc>
          <w:tcPr>
            <w:tcW w:w="12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8,08</w:t>
            </w:r>
          </w:p>
        </w:tc>
        <w:tc>
          <w:tcPr>
            <w:tcW w:w="12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1/50</w:t>
            </w:r>
          </w:p>
        </w:tc>
        <w:tc>
          <w:tcPr>
            <w:tcW w:w="15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sz w:val="20"/>
                <w:szCs w:val="20"/>
                <w:lang w:eastAsia="ru-RU"/>
              </w:rPr>
            </w:pPr>
            <w:r>
              <w:rPr>
                <w:rFonts w:eastAsia="Times New Roman" w:cs="Times New Roman"/>
                <w:sz w:val="20"/>
                <w:szCs w:val="20"/>
                <w:lang w:eastAsia="ru-RU"/>
              </w:rPr>
              <w:t>ООО «ЭК»</w:t>
            </w:r>
          </w:p>
        </w:tc>
      </w:tr>
    </w:tbl>
    <w:p>
      <w:pPr>
        <w:pStyle w:val="Normal"/>
        <w:rPr/>
      </w:pPr>
      <w:r>
        <w:rPr/>
      </w:r>
    </w:p>
    <w:p>
      <w:pPr>
        <w:pStyle w:val="Style27"/>
        <w:rPr/>
      </w:pPr>
      <w:bookmarkStart w:id="244" w:name="_Toc158814655"/>
      <w:bookmarkStart w:id="245" w:name="ПриложениеП2"/>
      <w:r>
        <w:rPr/>
        <w:t>Приложение П-2</w:t>
      </w:r>
      <w:bookmarkEnd w:id="244"/>
      <w:bookmarkEnd w:id="245"/>
    </w:p>
    <w:p>
      <w:pPr>
        <w:sectPr>
          <w:footerReference w:type="default" r:id="rId85"/>
          <w:footerReference w:type="first" r:id="rId86"/>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t xml:space="preserve">Балансы водоснабжения и плановые показатели развития ЦС ХВС в соответствии со вторым сценарием развития ЦС ХВС имеют незначительные отличия от балансов по сценарию № 1 и не приводятся в рамках настоящей работы. Перечень мероприятий по сценарию № 2 приведен в таблице ниже. </w:t>
      </w:r>
    </w:p>
    <w:p>
      <w:pPr>
        <w:pStyle w:val="Normal"/>
        <w:spacing w:before="120" w:after="0"/>
        <w:ind w:hanging="0"/>
        <w:rPr>
          <w:iCs/>
          <w:szCs w:val="18"/>
        </w:rPr>
      </w:pPr>
      <w:r>
        <w:rPr>
          <w:iCs/>
          <w:szCs w:val="18"/>
        </w:rPr>
        <w:t>Таблица П-2.1 – Перечень мероприятий ЦС ХВС Беловского ГО по сценарию № 2</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428"/>
        <w:gridCol w:w="5190"/>
        <w:gridCol w:w="906"/>
        <w:gridCol w:w="941"/>
        <w:gridCol w:w="2591"/>
        <w:gridCol w:w="547"/>
        <w:gridCol w:w="426"/>
        <w:gridCol w:w="999"/>
        <w:gridCol w:w="895"/>
        <w:gridCol w:w="1645"/>
      </w:tblGrid>
      <w:tr>
        <w:trPr>
          <w:tblHeader w:val="true"/>
          <w:trHeight w:val="20" w:hRule="atLeast"/>
        </w:trPr>
        <w:tc>
          <w:tcPr>
            <w:tcW w:w="42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 xml:space="preserve">№ </w:t>
            </w:r>
            <w:r>
              <w:rPr>
                <w:rFonts w:eastAsia="Times New Roman" w:cs="Times New Roman"/>
                <w:color w:val="000000"/>
                <w:sz w:val="16"/>
                <w:szCs w:val="16"/>
                <w:lang w:eastAsia="ru-RU"/>
              </w:rPr>
              <w:t>п.п.</w:t>
            </w:r>
          </w:p>
        </w:tc>
        <w:tc>
          <w:tcPr>
            <w:tcW w:w="519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Наименование мероприятия</w:t>
            </w:r>
          </w:p>
        </w:tc>
        <w:tc>
          <w:tcPr>
            <w:tcW w:w="90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Начало реализации</w:t>
            </w:r>
          </w:p>
        </w:tc>
        <w:tc>
          <w:tcPr>
            <w:tcW w:w="9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Окончание реализации</w:t>
            </w:r>
          </w:p>
        </w:tc>
        <w:tc>
          <w:tcPr>
            <w:tcW w:w="259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Техническое обоснование</w:t>
            </w:r>
          </w:p>
        </w:tc>
        <w:tc>
          <w:tcPr>
            <w:tcW w:w="2867"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Основные технические характеристики объекта водоснабжения после реализации мероприятия</w:t>
            </w:r>
          </w:p>
        </w:tc>
        <w:tc>
          <w:tcPr>
            <w:tcW w:w="16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Объем финансирования в ценах лет реализации, тыс. руб. (с НДС)</w:t>
            </w:r>
          </w:p>
        </w:tc>
      </w:tr>
      <w:tr>
        <w:trPr>
          <w:tblHeader w:val="true"/>
          <w:trHeight w:val="20" w:hRule="atLeast"/>
        </w:trPr>
        <w:tc>
          <w:tcPr>
            <w:tcW w:w="428"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519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90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94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9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val="en-US" w:eastAsia="ru-RU"/>
              </w:rPr>
              <w:t>L</w:t>
            </w:r>
            <w:r>
              <w:rPr>
                <w:rFonts w:eastAsia="Times New Roman" w:cs="Times New Roman"/>
                <w:color w:val="000000"/>
                <w:sz w:val="16"/>
                <w:szCs w:val="16"/>
                <w:lang w:eastAsia="ru-RU"/>
              </w:rPr>
              <w:t>, м</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Ду, мм</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Q, м</w:t>
            </w:r>
            <w:r>
              <w:rPr>
                <w:rFonts w:eastAsia="Times New Roman" w:cs="Times New Roman"/>
                <w:color w:val="000000"/>
                <w:sz w:val="16"/>
                <w:szCs w:val="16"/>
                <w:vertAlign w:val="superscript"/>
                <w:lang w:eastAsia="ru-RU"/>
              </w:rPr>
              <w:t>3</w:t>
            </w:r>
            <w:r>
              <w:rPr>
                <w:rFonts w:eastAsia="Times New Roman" w:cs="Times New Roman"/>
                <w:color w:val="000000"/>
                <w:sz w:val="16"/>
                <w:szCs w:val="16"/>
                <w:lang w:eastAsia="ru-RU"/>
              </w:rPr>
              <w:t>/сут. [м</w:t>
            </w:r>
            <w:r>
              <w:rPr>
                <w:rFonts w:eastAsia="Times New Roman" w:cs="Times New Roman"/>
                <w:color w:val="000000"/>
                <w:sz w:val="16"/>
                <w:szCs w:val="16"/>
                <w:vertAlign w:val="superscript"/>
                <w:lang w:eastAsia="ru-RU"/>
              </w:rPr>
              <w:t>3</w:t>
            </w:r>
            <w:r>
              <w:rPr>
                <w:rFonts w:eastAsia="Times New Roman" w:cs="Times New Roman"/>
                <w:color w:val="000000"/>
                <w:sz w:val="16"/>
                <w:szCs w:val="16"/>
                <w:lang w:eastAsia="ru-RU"/>
              </w:rPr>
              <w:t>/ч]</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иное</w:t>
            </w:r>
          </w:p>
        </w:tc>
        <w:tc>
          <w:tcPr>
            <w:tcW w:w="16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Всего</w:t>
            </w:r>
          </w:p>
        </w:tc>
      </w:tr>
      <w:tr>
        <w:trPr>
          <w:tblHeader w:val="true"/>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Тухачевского от дома № 7 до ВК-4523 до места установки пожарного гидранта у дома № 22, 874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874</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28 357,1</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Гражданская от дома № 12 до ВК-4531 до места установки пожарного гидранта у дома № 14 ВК-5312, 216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216</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6 733,9</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Тухачевского от дома № 2 до ВК-5275 до дома № 6 ВК-4527, 130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4 304,1</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водовода по ул. Железнодорожной от дома № 40 до ВК-5811 до дома № 56 ВК-5506, 410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410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13 574,5</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по ул. Октябрьской от дома № 41 ВК-5141 до ВК4493 на пересечении с ул. Юности, 510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510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18 091,5</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в 3 мкр. от ВК-5635 до дома № 14 до ВК-5638, 180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6 385,3</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перемычки между левой и правой ниткой водоводов от гидроузла № 7 до гидроузла № 3 от ВК-5480 у дома № 69 по ул. Советской до ВК-4995 у дома № 18 по ул. Юбилейной, 583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583</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19 717,6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на участке трубопровода Ду=326 мм от ВК-4776 у д. № 124 по ул.Ленина до пер.Советский (ВК-4963) с увеличением диаметра до 400 мм, 1 270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1 270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65 639,8</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(левая нитка) пер. Советский от ул. Октябрьская (ВК-4963) до ул. 1 Мая (ВК-3556) и по ул. 1 Мая до пер. Банковский (ВК-3134) с увеличением диаметра до 400 мм, 1 660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1 660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85 797,0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водовода Ду=400 мм (левая нитка) от пер. Банковский (ВК-3134) до гидроузла № 3 с увеличением диаметра, 1 090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1 090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56 336,6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скважины 1ц, 1цр, 3ц до насосной станции подкачки, 1 272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1 272</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48 379,2</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скважины 1ц, 1цр, 3ц до насосной станции подкачки, 2 505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2 505</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82 936,7</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участка водовода от скважины 9, 11, 27, 3 до насосной станции подкачки № 3, 699 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699</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29 522,4</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гидроузла № 2 в сторону гидроузла № 7 с переходом через р. Уроп, протяженностью 1 300 м, Кемеровская область – Кузбасс</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112 640,2</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в 1 500 м от реки Черновой Уроп до реконструированного участка на 12 км, протяжѐнностью 2 508 м, Кемеровская область – Кузбасс, Беловский муниципальный округ</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2 508</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217 309,0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сетей магистрального водопровода Ду 400 (левая нитка), участок по ул. Октябрьская от железнодорождных путей (ВК-4777) до пер. Советский (ВК-4963)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1 270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65 639,8</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магистрального водопровода Ду 400 мм от остановки "Поворот на пос. Старо-Белово" (ВК-4345) по ул. Озерная до пер. Пионерский (ВК-4819)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3 084</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159 396,3</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Водоснабжение п. Уроп. Кадастровый номер 42:01:0000000:1128. Магистральный водопровод (Ду=700 мм) от гидроузла № 2 до гидроузла № 7 на участке: от колодца у после перехода через автодорогу I категории «Ленинск – Кузнецкий - Новокузнецк» до врезки магистрального водопровода на пгт. Инской, протяженностью 1 443 м, Кемеровская область –Кузбасс, Беловский городской округ</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1 443</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127 721,1</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объекта: «Водоснабжение п. Уроп. Кадастровый номер 42:01:0000000:1128. Магистральный водопровод (Ду=700 мм) от гидроузла № 2 до гидроузла № 7 на участке: от реконструированного участка магистрального водовода на 4 км в сторону г/у №2 с переходом через ручей Менчереп, протяженностью L=1 500 м, с обустройством дюкера. Кемеровская область - Кузбасс, Беловский муниципальный округ»</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1 500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194 780,6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насосно-фильтровальной станции очистки воды в пгт. Инской</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Выполнение мероприятий, направленных на обеспечение соответствия качества питьевой воды, горячей воды требованиям законодательства Российской Федерации</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Опред. на стад. проектир.</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290 335,3</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 xml:space="preserve">Демонтаж участков водопроводной сети, в т.ч.: </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Фрунзе (L=112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112</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226,9</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21.2</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Калинина (L=350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350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715,5</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21.3</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Орджоникидзе (L=330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330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674,6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21.4</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Фрунзе (L=270 м, Ду=80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552,0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21.5</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Советская (L=450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450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920,0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21.6</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Матросова (L=640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640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1 308,4</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21.7</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по ул. Пионерская (L=640 м, Ду=50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640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1 308,4</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21.8</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Комсомольская 1 до ул. Пионерская (L=85 м, Ду=80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85</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173,8</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21.9</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Комсомольская до ул. Орджоникидзе (L=640 м, Ду=200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640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1 690,0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21.10</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Спортивная до ул. Шевцова 22а (L=425 м, Ду=80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425</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868,9</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21.11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Участок водопроводной сети от ул. Шевцова 22а до ул. Зеленовского (L=2100 м, Ду=400 мм)</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2 100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9 414,3</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ветхих и аварийных водопроводных сетей, выработавших свой срок службы в 2024–2036 гг. ООО "Водоснабжение"</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2036</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130 650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Без изм.</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4 683 699,0</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Реконструкция ветхих и аварийных водопроводных сетей, выработавших свой срок службы в 2024–2036 гг. МУП "Водоканал"</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2036</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25 360</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Без изм.</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909 150,2</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24</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Установка регуляторов давления</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2030</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Комплект оборуд.</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442,2</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Капитальный ремонт водопровода от дома №35 до дома №48 по ул. Советской, Кемеровская область-Кузбасс, Беловский городской округ</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256,8</w:t>
              <w:br/>
              <w:t>86,4</w:t>
              <w:br/>
              <w:t>83</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150</w:t>
              <w:br/>
              <w:t>100</w:t>
              <w:b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12 395,7</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Капитальный ремонт уличных сетей водопровода по ул. Южная, ул. Пархоменко, ул. Енисейская, ул. Крестьянская, ул. Омская, ул. Волжская, ул. Энтузиастов, ул. Физкультурная, ул. Аграрная Ду-110 мм, Ду-75 мм, Ду-63 мм, Lобщ=4858 м. в микрорайоне Чертинский, Беловский городской округ</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4 858</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50–100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138 415,2</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Мероприятия на водопроводных сетях в районе Старо-Белово, в т.ч.:</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27.1</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Ду=100 мм протяженностью 252,32 м от т. 1 до т. 3 (организация нового ввода в район)</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252,32</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7 175,9</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27.2</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82,44 м от т. 6 до т. 7 (организация нового ввода в район)</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82,44</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2 141,7</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27.3</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36,44 м от т. 4 до т. 5 (организация нового ввода в район)</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36,44</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946,6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27.4</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52,71 м от т. 8 до т. 9 (организация кольца)</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52,71</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1 369,3</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27.5</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Строительство трубопровода Ду=50 мм протяженностью 16,69 м от т. 10 до т. 14 (организация кольца)</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16,69</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433,6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27.6</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Замена трубопровода Ду=50 мм протяженностью 72,35 м на трубопровод Ду=100 мм от т. 12 до т. 13 (увеличение пропускной способности существующего ввода в район)</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подачи абонентам определенного объема горячей, питьевой воды установленного качества;</w:t>
              <w:br/>
              <w:t>сокращение потерь воды при ее транспортировке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72,35</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2 255,6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27.7</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Замена трубопровода Ду=50 мм протяженностью 79,42 м на трубопровод Ду=80 мм от т. 10 до т. 12 (увеличение пропускной способности существующего трубопровода)</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То же</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79,42</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80</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2 343,9</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28</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Перевод гидроузлов №№ 2, 7, 3, 5 на схему эл. снабжения 1 категории</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2027</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2030</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Обеспечение надежности энергоснабжения объектов водоснабжения</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Без изм.</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10 204,6</w:t>
            </w:r>
          </w:p>
        </w:tc>
      </w:tr>
      <w:tr>
        <w:trPr>
          <w:trHeight w:val="20" w:hRule="atLeast"/>
        </w:trPr>
        <w:tc>
          <w:tcPr>
            <w:tcW w:w="42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51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Итого по ЦС ХВС Беловского ГО</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5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54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42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99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8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16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7 422 424,2</w:t>
            </w:r>
          </w:p>
        </w:tc>
      </w:tr>
    </w:tbl>
    <w:p>
      <w:pPr>
        <w:sectPr>
          <w:footerReference w:type="default" r:id="rId87"/>
          <w:footerReference w:type="first" r:id="rId88"/>
          <w:type w:val="nextPage"/>
          <w:pgSz w:orient="landscape" w:w="16838" w:h="11906"/>
          <w:pgMar w:left="1134" w:right="1134" w:gutter="0" w:header="0" w:top="1701" w:footer="708" w:bottom="850"/>
          <w:pgNumType w:fmt="decimal"/>
          <w:formProt w:val="false"/>
          <w:textDirection w:val="lrTb"/>
          <w:docGrid w:type="default" w:linePitch="360" w:charSpace="0"/>
        </w:sectPr>
      </w:pPr>
    </w:p>
    <w:p>
      <w:pPr>
        <w:pStyle w:val="Style27"/>
        <w:rPr/>
      </w:pPr>
      <w:bookmarkStart w:id="246" w:name="_Toc158814656"/>
      <w:r>
        <w:rPr/>
        <w:t>Приложение П-3</w:t>
      </w:r>
      <w:bookmarkEnd w:id="246"/>
    </w:p>
    <w:p>
      <w:pPr>
        <w:pStyle w:val="Normal"/>
        <w:rPr/>
      </w:pPr>
      <w:r>
        <w:rPr/>
        <w:t>В соответствии со сценарием № 2, предполагающий только реконструкцию имеющихся объектов водоотведения, приведены балансы водоотведения и мероприятия по реализации схем водоотведения в Беловском ГО в таблицах ниже.</w:t>
      </w:r>
    </w:p>
    <w:p>
      <w:pPr>
        <w:sectPr>
          <w:footerReference w:type="default" r:id="rId89"/>
          <w:footerReference w:type="first" r:id="rId90"/>
          <w:type w:val="nextPage"/>
          <w:pgSz w:w="11906" w:h="16838"/>
          <w:pgMar w:left="1701" w:right="850" w:gutter="0" w:header="0" w:top="1134" w:footer="708" w:bottom="1134"/>
          <w:pgNumType w:fmt="decimal"/>
          <w:formProt w:val="false"/>
          <w:textDirection w:val="lrTb"/>
          <w:docGrid w:type="default" w:linePitch="360" w:charSpace="0"/>
        </w:sectPr>
        <w:pStyle w:val="Normal"/>
        <w:rPr/>
      </w:pPr>
      <w:r>
        <w:rPr/>
      </w:r>
    </w:p>
    <w:p>
      <w:pPr>
        <w:pStyle w:val="Style34"/>
        <w:rPr/>
      </w:pPr>
      <w:r>
        <w:rPr/>
        <w:t>Таблица П-3.1 – Балансы ВО по сценарию № 2</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550"/>
        <w:gridCol w:w="2171"/>
        <w:gridCol w:w="944"/>
        <w:gridCol w:w="641"/>
        <w:gridCol w:w="641"/>
        <w:gridCol w:w="643"/>
        <w:gridCol w:w="641"/>
        <w:gridCol w:w="641"/>
        <w:gridCol w:w="641"/>
        <w:gridCol w:w="643"/>
        <w:gridCol w:w="641"/>
        <w:gridCol w:w="641"/>
        <w:gridCol w:w="641"/>
        <w:gridCol w:w="643"/>
        <w:gridCol w:w="640"/>
        <w:gridCol w:w="642"/>
        <w:gridCol w:w="641"/>
        <w:gridCol w:w="642"/>
        <w:gridCol w:w="641"/>
        <w:gridCol w:w="638"/>
      </w:tblGrid>
      <w:tr>
        <w:trPr>
          <w:tblHeader w:val="true"/>
          <w:trHeight w:val="20" w:hRule="atLeast"/>
        </w:trPr>
        <w:tc>
          <w:tcPr>
            <w:tcW w:w="5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 xml:space="preserve">№ </w:t>
            </w:r>
            <w:r>
              <w:rPr>
                <w:rFonts w:eastAsia="Times New Roman" w:cs="Times New Roman"/>
                <w:color w:val="000000"/>
                <w:sz w:val="18"/>
                <w:szCs w:val="18"/>
                <w:lang w:eastAsia="ru-RU"/>
              </w:rPr>
              <w:t>п.п.</w:t>
            </w:r>
          </w:p>
        </w:tc>
        <w:tc>
          <w:tcPr>
            <w:tcW w:w="21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Наименование показателя</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Ед. изм.</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2020</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2021</w:t>
            </w:r>
          </w:p>
        </w:tc>
        <w:tc>
          <w:tcPr>
            <w:tcW w:w="64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2022</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2023</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2024</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2025</w:t>
            </w:r>
          </w:p>
        </w:tc>
        <w:tc>
          <w:tcPr>
            <w:tcW w:w="64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2026</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2027</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2028</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2029</w:t>
            </w:r>
          </w:p>
        </w:tc>
        <w:tc>
          <w:tcPr>
            <w:tcW w:w="64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2030</w:t>
            </w:r>
          </w:p>
        </w:tc>
        <w:tc>
          <w:tcPr>
            <w:tcW w:w="64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2031</w:t>
            </w:r>
          </w:p>
        </w:tc>
        <w:tc>
          <w:tcPr>
            <w:tcW w:w="64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2032</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2033</w:t>
            </w:r>
          </w:p>
        </w:tc>
        <w:tc>
          <w:tcPr>
            <w:tcW w:w="64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2034</w:t>
            </w:r>
          </w:p>
        </w:tc>
        <w:tc>
          <w:tcPr>
            <w:tcW w:w="64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2035</w:t>
            </w:r>
          </w:p>
        </w:tc>
        <w:tc>
          <w:tcPr>
            <w:tcW w:w="63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2036</w:t>
            </w:r>
          </w:p>
        </w:tc>
      </w:tr>
      <w:tr>
        <w:trPr>
          <w:tblHeader w:val="true"/>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10</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16</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17</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w:t>
            </w:r>
          </w:p>
        </w:tc>
        <w:tc>
          <w:tcPr>
            <w:tcW w:w="217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"БелГОС"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8956,40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8886,97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8824,62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8764,74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8732,90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8701,06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8669,22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8637,39</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8605,55</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8573,71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8541,87</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8510,04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8478,20</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8446,36</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1.1.2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9273,79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9313,1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9249,42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8956,40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8886,97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8824,62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8764,74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8732,90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8701,06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8669,22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8637,39</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8605,55</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8573,71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8541,87</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8510,04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8478,20</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8446,36</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47,3</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25,50</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24,52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24,33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24,16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24,00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23,91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23,74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23,65</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23,56</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23,47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23,39</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23,21</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23,12</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1.2.3</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30,47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30,60</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30,39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28,99</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28,80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28,38</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28,27</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28,17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28,06</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27,96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27,85</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27,75</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16,83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16,70</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17,87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18,10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18,31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18,50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18,61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18,82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18,92</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19,03</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19,13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19,24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19,34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19,45</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19,55</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1.2.4.1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156%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167%</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170%</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170%</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"Водоснабжение"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932,86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925,63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919,13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909,58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906,27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902,95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899,63</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896,32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893,00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889,68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886,37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883,05</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879,74</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2.1.2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365,41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1016,02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963,38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932,86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925,63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919,13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912,90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909,58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906,27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902,95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899,63</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896,32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893,00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889,68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886,37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883,05</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879,74</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7,1</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2,47</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2,46</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2,45</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2,42</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2,41</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2.2.3</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1,20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3,00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2,97</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2,96</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3,93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4,08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4,14</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4,16</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4,19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4,20</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4,21</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2.2.4.1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213%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239%</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240%</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243%</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245%</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246%</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ООО "ЭК"</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Основные показатели</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Прием сточных вод, всего, в т.ч.:</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1170,64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1047,48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1059,50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1055,17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1051,28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1047,55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1045,56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1043,58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1041,59</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1039,60</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1037,62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1035,63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1033,65</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1031,66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1029,68</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1027,69</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населения</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593,93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609,26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576,84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558,56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554,23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550,35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546,61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544,63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542,64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540,66</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538,67</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536,68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534,70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532,71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530,73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528,74</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526,76</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от прочих абонентов</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279,28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372,97</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282,37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311,54</w:t>
            </w:r>
          </w:p>
        </w:tc>
      </w:tr>
      <w:tr>
        <w:trPr>
          <w:trHeight w:val="20" w:hRule="atLeast"/>
        </w:trPr>
        <w:tc>
          <w:tcPr>
            <w:tcW w:w="5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3.1.1.3</w:t>
            </w:r>
          </w:p>
        </w:tc>
        <w:tc>
          <w:tcPr>
            <w:tcW w:w="21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собственные нужды</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26,88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22,93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26,45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25,42</w:t>
            </w:r>
          </w:p>
        </w:tc>
      </w:tr>
      <w:tr>
        <w:trPr>
          <w:trHeight w:val="20" w:hRule="atLeast"/>
        </w:trPr>
        <w:tc>
          <w:tcPr>
            <w:tcW w:w="5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3.1.1.4</w:t>
            </w:r>
          </w:p>
        </w:tc>
        <w:tc>
          <w:tcPr>
            <w:tcW w:w="21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хоз. нужды предприятия</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164,63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165,48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161,82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163,98</w:t>
            </w:r>
          </w:p>
        </w:tc>
      </w:tr>
      <w:tr>
        <w:trPr>
          <w:trHeight w:val="20" w:hRule="atLeast"/>
        </w:trPr>
        <w:tc>
          <w:tcPr>
            <w:tcW w:w="550"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3.1.1.5</w:t>
            </w:r>
          </w:p>
        </w:tc>
        <w:tc>
          <w:tcPr>
            <w:tcW w:w="21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неучтенный приток сточных вод</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3.1.2</w:t>
            </w:r>
          </w:p>
        </w:tc>
        <w:tc>
          <w:tcPr>
            <w:tcW w:w="21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Объем сточных вод, прошедших очистку</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1064,71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1170,64</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1047,48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1059,50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1055,17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1051,28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1047,55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1045,56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1043,58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1041,59</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1039,60</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1037,62</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1035,63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1033,65</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1031,66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1029,68</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1027,69</w:t>
            </w:r>
          </w:p>
        </w:tc>
      </w:tr>
      <w:tr>
        <w:trPr>
          <w:trHeight w:val="20" w:hRule="atLeast"/>
        </w:trPr>
        <w:tc>
          <w:tcPr>
            <w:tcW w:w="5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w:t>
            </w:r>
          </w:p>
        </w:tc>
        <w:tc>
          <w:tcPr>
            <w:tcW w:w="217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Прочие показатели</w:t>
            </w:r>
          </w:p>
        </w:tc>
        <w:tc>
          <w:tcPr>
            <w:tcW w:w="9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Располагаемая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10,1</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3.2.2</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среднесуточное</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3,21</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2,85</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2,83</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2,82</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2,81</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3.2.3</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Поступление сточных вод в ЦС ВО максимальное суточное (требуемая производительность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3,50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3,85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3,42</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3,41</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3,40</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3,38</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3,38</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Резерв/дефицит производительности КОС</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тыс. м</w:t>
            </w:r>
            <w:r>
              <w:rPr>
                <w:rFonts w:eastAsia="Times New Roman" w:cs="Times New Roman"/>
                <w:color w:val="000000"/>
                <w:sz w:val="18"/>
                <w:szCs w:val="18"/>
                <w:vertAlign w:val="superscript"/>
                <w:lang w:eastAsia="ru-RU"/>
              </w:rPr>
              <w:t>3</w:t>
            </w:r>
            <w:r>
              <w:rPr>
                <w:rFonts w:eastAsia="Times New Roman" w:cs="Times New Roman"/>
                <w:color w:val="000000"/>
                <w:sz w:val="18"/>
                <w:szCs w:val="18"/>
                <w:lang w:eastAsia="ru-RU"/>
              </w:rPr>
              <w:t>/сут.</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6,25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6,62</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6,66</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6,68</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6,68</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6,69</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6,70</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6,72</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6,72</w:t>
            </w:r>
          </w:p>
        </w:tc>
      </w:tr>
      <w:tr>
        <w:trPr>
          <w:trHeight w:val="20" w:hRule="atLeast"/>
        </w:trPr>
        <w:tc>
          <w:tcPr>
            <w:tcW w:w="55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3.2.4.1</w:t>
            </w:r>
          </w:p>
        </w:tc>
        <w:tc>
          <w:tcPr>
            <w:tcW w:w="21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8"/>
                <w:szCs w:val="18"/>
                <w:lang w:eastAsia="ru-RU"/>
              </w:rPr>
            </w:pPr>
            <w:r>
              <w:rPr>
                <w:rFonts w:eastAsia="Times New Roman" w:cs="Times New Roman"/>
                <w:color w:val="000000"/>
                <w:sz w:val="18"/>
                <w:szCs w:val="18"/>
                <w:lang w:eastAsia="ru-RU"/>
              </w:rPr>
              <w:t>То же в %</w:t>
            </w:r>
          </w:p>
        </w:tc>
        <w:tc>
          <w:tcPr>
            <w:tcW w:w="9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rFonts w:eastAsia="Times New Roman" w:cs="Times New Roman"/>
                <w:color w:val="000000"/>
                <w:sz w:val="18"/>
                <w:szCs w:val="18"/>
                <w:lang w:eastAsia="ru-RU"/>
              </w:rPr>
              <w:t>%</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289%</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263%</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290%</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291%</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292%</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293%</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294%</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295%</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295%</w:t>
            </w:r>
          </w:p>
        </w:tc>
        <w:tc>
          <w:tcPr>
            <w:tcW w:w="64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296%</w:t>
            </w:r>
          </w:p>
        </w:tc>
        <w:tc>
          <w:tcPr>
            <w:tcW w:w="64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296%</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297%</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297%</w:t>
            </w:r>
          </w:p>
        </w:tc>
        <w:tc>
          <w:tcPr>
            <w:tcW w:w="64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298%</w:t>
            </w:r>
          </w:p>
        </w:tc>
        <w:tc>
          <w:tcPr>
            <w:tcW w:w="6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299%</w:t>
            </w:r>
          </w:p>
        </w:tc>
        <w:tc>
          <w:tcPr>
            <w:tcW w:w="63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8"/>
                <w:szCs w:val="18"/>
                <w:lang w:eastAsia="ru-RU"/>
              </w:rPr>
            </w:pPr>
            <w:r>
              <w:rPr>
                <w:color w:val="000000"/>
                <w:sz w:val="18"/>
                <w:szCs w:val="18"/>
              </w:rPr>
              <w:t>299%</w:t>
            </w:r>
          </w:p>
        </w:tc>
      </w:tr>
    </w:tbl>
    <w:p>
      <w:pPr>
        <w:pStyle w:val="Style34"/>
        <w:rPr/>
      </w:pPr>
      <w:r>
        <w:rPr/>
        <w:t>Таблица П-3.2 – Мероприятия по сценарию № 2</w:t>
      </w:r>
    </w:p>
    <w:tbl>
      <w:tblPr>
        <w:tblW w:w="5000" w:type="pct"/>
        <w:jc w:val="left"/>
        <w:tblInd w:w="0" w:type="dxa"/>
        <w:tblLayout w:type="fixed"/>
        <w:tblCellMar>
          <w:top w:w="0" w:type="dxa"/>
          <w:left w:w="28" w:type="dxa"/>
          <w:bottom w:w="0" w:type="dxa"/>
          <w:right w:w="28" w:type="dxa"/>
        </w:tblCellMar>
        <w:tblLook w:noVBand="1" w:val="04a0" w:noHBand="0" w:lastColumn="0" w:firstColumn="1" w:lastRow="0" w:firstRow="1"/>
      </w:tblPr>
      <w:tblGrid>
        <w:gridCol w:w="319"/>
        <w:gridCol w:w="2912"/>
        <w:gridCol w:w="1709"/>
        <w:gridCol w:w="525"/>
        <w:gridCol w:w="571"/>
        <w:gridCol w:w="2376"/>
        <w:gridCol w:w="633"/>
        <w:gridCol w:w="632"/>
        <w:gridCol w:w="376"/>
        <w:gridCol w:w="367"/>
        <w:gridCol w:w="370"/>
        <w:gridCol w:w="251"/>
        <w:gridCol w:w="252"/>
        <w:gridCol w:w="250"/>
        <w:gridCol w:w="251"/>
        <w:gridCol w:w="252"/>
        <w:gridCol w:w="250"/>
        <w:gridCol w:w="253"/>
        <w:gridCol w:w="250"/>
        <w:gridCol w:w="251"/>
        <w:gridCol w:w="252"/>
        <w:gridCol w:w="250"/>
        <w:gridCol w:w="252"/>
        <w:gridCol w:w="253"/>
        <w:gridCol w:w="253"/>
        <w:gridCol w:w="256"/>
      </w:tblGrid>
      <w:tr>
        <w:trPr>
          <w:tblHeader w:val="true"/>
          <w:trHeight w:val="20" w:hRule="atLeast"/>
        </w:trPr>
        <w:tc>
          <w:tcPr>
            <w:tcW w:w="31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 xml:space="preserve">№ </w:t>
            </w:r>
            <w:r>
              <w:rPr>
                <w:rFonts w:eastAsia="Times New Roman" w:cs="Times New Roman"/>
                <w:color w:val="000000"/>
                <w:sz w:val="16"/>
                <w:szCs w:val="16"/>
                <w:lang w:eastAsia="ru-RU"/>
              </w:rPr>
              <w:t>п.п.</w:t>
            </w:r>
          </w:p>
        </w:tc>
        <w:tc>
          <w:tcPr>
            <w:tcW w:w="291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Наименование мероприятия</w:t>
            </w:r>
          </w:p>
        </w:tc>
        <w:tc>
          <w:tcPr>
            <w:tcW w:w="170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Тип объекта</w:t>
            </w:r>
          </w:p>
        </w:tc>
        <w:tc>
          <w:tcPr>
            <w:tcW w:w="1096"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Период реализации, гг.</w:t>
            </w:r>
          </w:p>
        </w:tc>
        <w:tc>
          <w:tcPr>
            <w:tcW w:w="23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Техническое обоснование</w:t>
            </w:r>
          </w:p>
        </w:tc>
        <w:tc>
          <w:tcPr>
            <w:tcW w:w="2378"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Основные технические характеристики объекта по результатам реализации мероприятия</w:t>
            </w:r>
          </w:p>
        </w:tc>
        <w:tc>
          <w:tcPr>
            <w:tcW w:w="3776" w:type="dxa"/>
            <w:gridSpan w:val="1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Объем капитальных вложений в ценах лет реализации (без учета НДС), тыс. руб.</w:t>
            </w:r>
          </w:p>
        </w:tc>
      </w:tr>
      <w:tr>
        <w:trPr>
          <w:tblHeader w:val="true"/>
          <w:trHeight w:val="20" w:hRule="atLeast"/>
        </w:trPr>
        <w:tc>
          <w:tcPr>
            <w:tcW w:w="31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9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17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52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начало</w:t>
            </w:r>
          </w:p>
        </w:tc>
        <w:tc>
          <w:tcPr>
            <w:tcW w:w="57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конец</w:t>
            </w:r>
          </w:p>
        </w:tc>
        <w:tc>
          <w:tcPr>
            <w:tcW w:w="23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1265"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канализационные сети</w:t>
            </w:r>
          </w:p>
        </w:tc>
        <w:tc>
          <w:tcPr>
            <w:tcW w:w="1113" w:type="dxa"/>
            <w:gridSpan w:val="3"/>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прочие объекты</w:t>
            </w:r>
          </w:p>
        </w:tc>
        <w:tc>
          <w:tcPr>
            <w:tcW w:w="251"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2023</w:t>
            </w:r>
          </w:p>
        </w:tc>
        <w:tc>
          <w:tcPr>
            <w:tcW w:w="252"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2024</w:t>
            </w:r>
          </w:p>
        </w:tc>
        <w:tc>
          <w:tcPr>
            <w:tcW w:w="250"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2025</w:t>
            </w:r>
          </w:p>
        </w:tc>
        <w:tc>
          <w:tcPr>
            <w:tcW w:w="251"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2026</w:t>
            </w:r>
          </w:p>
        </w:tc>
        <w:tc>
          <w:tcPr>
            <w:tcW w:w="252"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2027</w:t>
            </w:r>
          </w:p>
        </w:tc>
        <w:tc>
          <w:tcPr>
            <w:tcW w:w="250"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2028</w:t>
            </w:r>
          </w:p>
        </w:tc>
        <w:tc>
          <w:tcPr>
            <w:tcW w:w="253"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2029</w:t>
            </w:r>
          </w:p>
        </w:tc>
        <w:tc>
          <w:tcPr>
            <w:tcW w:w="250"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2030</w:t>
            </w:r>
          </w:p>
        </w:tc>
        <w:tc>
          <w:tcPr>
            <w:tcW w:w="251"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2031</w:t>
            </w:r>
          </w:p>
        </w:tc>
        <w:tc>
          <w:tcPr>
            <w:tcW w:w="252"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2032</w:t>
            </w:r>
          </w:p>
        </w:tc>
        <w:tc>
          <w:tcPr>
            <w:tcW w:w="250"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2033</w:t>
            </w:r>
          </w:p>
        </w:tc>
        <w:tc>
          <w:tcPr>
            <w:tcW w:w="252"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2034</w:t>
            </w:r>
          </w:p>
        </w:tc>
        <w:tc>
          <w:tcPr>
            <w:tcW w:w="253"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2035</w:t>
            </w:r>
          </w:p>
        </w:tc>
        <w:tc>
          <w:tcPr>
            <w:tcW w:w="253"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2036</w:t>
            </w:r>
          </w:p>
        </w:tc>
        <w:tc>
          <w:tcPr>
            <w:tcW w:w="256" w:type="dxa"/>
            <w:vMerge w:val="restart"/>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итого</w:t>
            </w:r>
          </w:p>
        </w:tc>
      </w:tr>
      <w:tr>
        <w:trPr>
          <w:tblHeader w:val="true"/>
          <w:trHeight w:val="1102" w:hRule="atLeast"/>
        </w:trPr>
        <w:tc>
          <w:tcPr>
            <w:tcW w:w="31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9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170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52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57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3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63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L, м</w:t>
            </w:r>
          </w:p>
        </w:tc>
        <w:tc>
          <w:tcPr>
            <w:tcW w:w="63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Dу, мм</w:t>
            </w:r>
          </w:p>
        </w:tc>
        <w:tc>
          <w:tcPr>
            <w:tcW w:w="37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КОС, м³/сут</w:t>
            </w:r>
          </w:p>
        </w:tc>
        <w:tc>
          <w:tcPr>
            <w:tcW w:w="367"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КНС, м³/ч</w:t>
            </w:r>
          </w:p>
        </w:tc>
        <w:tc>
          <w:tcPr>
            <w:tcW w:w="37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иное</w:t>
            </w:r>
          </w:p>
        </w:tc>
        <w:tc>
          <w:tcPr>
            <w:tcW w:w="2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3"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c>
          <w:tcPr>
            <w:tcW w:w="25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r>
          </w:p>
        </w:tc>
      </w:tr>
      <w:tr>
        <w:trPr>
          <w:tblHeader w:val="true"/>
          <w:trHeight w:val="20" w:hRule="atLeast"/>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3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37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2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2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2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2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2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2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w:t>
            </w:r>
          </w:p>
        </w:tc>
        <w:tc>
          <w:tcPr>
            <w:tcW w:w="2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w:t>
            </w:r>
          </w:p>
        </w:tc>
        <w:tc>
          <w:tcPr>
            <w:tcW w:w="2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w:t>
            </w:r>
          </w:p>
        </w:tc>
        <w:tc>
          <w:tcPr>
            <w:tcW w:w="25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w:t>
            </w:r>
          </w:p>
        </w:tc>
        <w:tc>
          <w:tcPr>
            <w:tcW w:w="2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w:t>
            </w:r>
          </w:p>
        </w:tc>
        <w:tc>
          <w:tcPr>
            <w:tcW w:w="2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22</w:t>
            </w:r>
          </w:p>
        </w:tc>
        <w:tc>
          <w:tcPr>
            <w:tcW w:w="2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23</w:t>
            </w:r>
          </w:p>
        </w:tc>
        <w:tc>
          <w:tcPr>
            <w:tcW w:w="2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24</w:t>
            </w:r>
          </w:p>
        </w:tc>
        <w:tc>
          <w:tcPr>
            <w:tcW w:w="2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25</w:t>
            </w:r>
          </w:p>
        </w:tc>
        <w:tc>
          <w:tcPr>
            <w:tcW w:w="25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26</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мкр. Ивушка</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Организация централизованного водоотведения на территориях поселений, городских округов, где оно отсутствует</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1100</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37 305</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39 013</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40 625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42 262</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43 965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45 737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248 907</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пгт. Грамотеино</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без. изм.</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70 853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74 098</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77 158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80 268</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83 503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86 868</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472 748</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3</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КОС в пгт. Инской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без. изм.</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92 070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96 287</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100 263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104 304</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108 508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112 881</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614 313</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4</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двух КНС по ул. Тобольская пгт. Инской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без. изм.</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1 103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1 153</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1 201</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1 249</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1 300</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1 352</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7 359</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5</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Внедрение систем диспетчеризации, телемеханизации и систем управления режимами водоотведения</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258</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270</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281</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293</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305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317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1 724</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6</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КНС ул. Юбилейная</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180</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1 103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1 153</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1 201</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1 249</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1 300</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1 352</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7 359</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7</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КНС ул. Железнодорожная</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площадный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200</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1 287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1 346</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1 401</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1 458</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1 516</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1 577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8 585</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8</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Чистопольская от КНС-2 ул. Тобольская, пгт. Инской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250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90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537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562</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585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609</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633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659</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3 585</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9</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Колмогоровская, пгт. Грамотеино</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2 350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150-200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6 034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6 311</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6 571</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6 836</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7 112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7 398</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40 262</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10</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Светлая, пгт. Грамотеино</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2 766</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150-300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8 416</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8 801</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9 165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9 534</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9 918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10 318</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56 152</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11</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Л. Швецовой, пгт. Бачатский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550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1 673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1 750</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1 822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1 896</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1 972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2 052</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11 165</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12</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Строительство самотечного коллектора для отвода стоков мкр. Финский, в систему канализации пгт. Бачатский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Организация централизованного водоотведения на территориях поселений, городских округов, где оно отсутствует</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720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2 191</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2 291</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2 386</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2 482</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2 582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2 686</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14 616</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13</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Железнодорожная (от КНС элеватора до ООО «Белсах»)</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1 000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3 043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3 182</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3 313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3 447</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3 586</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3 730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20 301</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14</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напорного коллектора по ул. Кузбасская от КНС Горсад до ГНС</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1 700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5 990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6 265</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6 523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6 786</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7 060</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7 344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39 969</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15</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по ул. Юбилейная (от автовокзала до КНС)</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270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693</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725</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755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785</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817</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850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4 626</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16</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главного коллектора по ул. Советской</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1 730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250-350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5 680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5 940</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6 185</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6 435</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6 694</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6 964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37 898</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17</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от ул. Новогодняя, 1 до завода СибЭЛКОМ по ул. Розы-Люксембург</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500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1 284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1 343</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1 398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1 455</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1 513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1 574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8 567</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18</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канализационного коллектора от бывшего Цинкзавода до пер. Клубный 1</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460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150-200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1 181</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1 235</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1 286</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1 338</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1 392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1 448</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7 881</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19</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канализационных сетей 3-ий микрорайон, около дома № 79</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170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160</w:t>
            </w:r>
          </w:p>
        </w:tc>
        <w:tc>
          <w:tcPr>
            <w:tcW w:w="376"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textDirection w:val="tbRl"/>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444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464</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483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503</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523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544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2 961</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20</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 xml:space="preserve">Реконструкция канализационного коллектора по ул. Мичурина </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2025</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450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200</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1 155</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1 208</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1 258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1 309</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1 362</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1 417</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7 709</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21</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color w:val="000000"/>
                <w:sz w:val="16"/>
                <w:szCs w:val="16"/>
              </w:rPr>
              <w:t>Реконструкция (капитальный ремонт) ветхих участков сетей водоотведения (2% от общей протяженности в год)</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линейный</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2030</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2036</w:t>
            </w:r>
          </w:p>
        </w:tc>
        <w:tc>
          <w:tcPr>
            <w:tcW w:w="23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31 830</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без. изм.</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37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80 934</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84 195</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87 588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91 118</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94 790</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98 611</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102 585</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639 821</w:t>
            </w:r>
          </w:p>
        </w:tc>
      </w:tr>
      <w:tr>
        <w:trPr>
          <w:trHeight w:val="1134" w:hRule="atLeast"/>
          <w:cantSplit w:val="true"/>
        </w:trPr>
        <w:tc>
          <w:tcPr>
            <w:tcW w:w="31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91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rPr>
                <w:rFonts w:eastAsia="Times New Roman" w:cs="Times New Roman"/>
                <w:color w:val="000000"/>
                <w:sz w:val="16"/>
                <w:szCs w:val="16"/>
                <w:lang w:eastAsia="ru-RU"/>
              </w:rPr>
            </w:pPr>
            <w:r>
              <w:rPr>
                <w:rFonts w:eastAsia="Times New Roman" w:cs="Times New Roman"/>
                <w:color w:val="000000"/>
                <w:sz w:val="16"/>
                <w:szCs w:val="16"/>
                <w:lang w:eastAsia="ru-RU"/>
              </w:rPr>
              <w:t>ИТОГО (с учетом НДС)</w:t>
            </w:r>
          </w:p>
        </w:tc>
        <w:tc>
          <w:tcPr>
            <w:tcW w:w="17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 </w:t>
            </w:r>
          </w:p>
        </w:tc>
        <w:tc>
          <w:tcPr>
            <w:tcW w:w="52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57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6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3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36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37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Times New Roman"/>
                <w:color w:val="000000"/>
                <w:sz w:val="16"/>
                <w:szCs w:val="16"/>
                <w:lang w:eastAsia="ru-RU"/>
              </w:rPr>
            </w:pPr>
            <w:r>
              <w:rPr>
                <w:rFonts w:eastAsia="Times New Roman" w:cs="Times New Roman"/>
                <w:color w:val="000000"/>
                <w:sz w:val="16"/>
                <w:szCs w:val="16"/>
                <w:lang w:eastAsia="ru-RU"/>
              </w:rPr>
              <w:t>-</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0</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 xml:space="preserve"> </w:t>
            </w:r>
            <w:r>
              <w:rPr>
                <w:color w:val="000000"/>
                <w:sz w:val="16"/>
                <w:szCs w:val="16"/>
              </w:rPr>
              <w:t>0</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242 300</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253 398</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263 863</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274 497</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285 559</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378 001</w:t>
            </w:r>
          </w:p>
        </w:tc>
        <w:tc>
          <w:tcPr>
            <w:tcW w:w="251"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84 195</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87 588</w:t>
            </w:r>
          </w:p>
        </w:tc>
        <w:tc>
          <w:tcPr>
            <w:tcW w:w="250"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91 118</w:t>
            </w:r>
          </w:p>
        </w:tc>
        <w:tc>
          <w:tcPr>
            <w:tcW w:w="252"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94 790</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98 611</w:t>
            </w:r>
          </w:p>
        </w:tc>
        <w:tc>
          <w:tcPr>
            <w:tcW w:w="25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102 585</w:t>
            </w:r>
          </w:p>
        </w:tc>
        <w:tc>
          <w:tcPr>
            <w:tcW w:w="256"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left="113" w:right="113" w:hanging="0"/>
              <w:jc w:val="center"/>
              <w:rPr>
                <w:rFonts w:eastAsia="Times New Roman" w:cs="Times New Roman"/>
                <w:color w:val="000000"/>
                <w:sz w:val="16"/>
                <w:szCs w:val="16"/>
                <w:lang w:eastAsia="ru-RU"/>
              </w:rPr>
            </w:pPr>
            <w:r>
              <w:rPr>
                <w:color w:val="000000"/>
                <w:sz w:val="16"/>
                <w:szCs w:val="16"/>
              </w:rPr>
              <w:t>2 256 506</w:t>
            </w:r>
          </w:p>
        </w:tc>
      </w:tr>
    </w:tbl>
    <w:p>
      <w:pPr>
        <w:pStyle w:val="Normal"/>
        <w:spacing w:before="120" w:after="120"/>
        <w:rPr/>
      </w:pPr>
      <w:r>
        <w:rPr/>
      </w:r>
    </w:p>
    <w:sectPr>
      <w:footerReference w:type="default" r:id="rId91"/>
      <w:footerReference w:type="first" r:id="rId92"/>
      <w:type w:val="nextPage"/>
      <w:pgSz w:orient="landscape" w:w="16838" w:h="11906"/>
      <w:pgMar w:left="1134" w:right="1134" w:gutter="0" w:header="0" w:top="1701" w:footer="708" w:bottom="85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default"/>
  </w:font>
  <w:font w:name="Calibri Light">
    <w:charset w:val="01"/>
    <w:family w:val="roman"/>
    <w:pitch w:val="default"/>
  </w:font>
  <w:font w:name="PT Astra Serif">
    <w:charset w:val="01"/>
    <w:family w:val="roman"/>
    <w:pitch w:val="default"/>
  </w:font>
  <w:font w:name="Calibri">
    <w:charset w:val="01"/>
    <w:family w:val="roman"/>
    <w:pitch w:val="default"/>
  </w:font>
  <w:font w:name="Symbol">
    <w:charset w:val="02"/>
    <w:family w:val="auto"/>
    <w:pitch w:val="default"/>
  </w:font>
  <w:font w:name="Courier New">
    <w:charset w:val="01"/>
    <w:family w:val="modern"/>
    <w:pitch w:val="fixed"/>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67653943"/>
    </w:sdtPr>
    <w:sdtContent>
      <w:p>
        <w:pPr>
          <w:pStyle w:val="Style30"/>
          <w:ind w:hanging="0"/>
          <w:jc w:val="center"/>
          <w:rPr/>
        </w:pPr>
        <w:r>
          <w:rPr/>
          <w:fldChar w:fldCharType="begin"/>
        </w:r>
        <w:r>
          <w:rPr/>
          <w:instrText xml:space="preserve"> PAGE </w:instrText>
        </w:r>
        <w:r>
          <w:rPr/>
          <w:fldChar w:fldCharType="separate"/>
        </w:r>
        <w:r>
          <w:rPr/>
          <w:t>20</w:t>
        </w:r>
        <w:r>
          <w:rPr/>
          <w:fldChar w:fldCharType="end"/>
        </w:r>
      </w:p>
    </w:sdtContent>
  </w:sdt>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44733558"/>
    </w:sdtPr>
    <w:sdtContent>
      <w:p>
        <w:pPr>
          <w:pStyle w:val="Style30"/>
          <w:ind w:hanging="0"/>
          <w:jc w:val="center"/>
          <w:rPr/>
        </w:pPr>
        <w:r>
          <w:rPr/>
          <w:fldChar w:fldCharType="begin"/>
        </w:r>
        <w:r>
          <w:rPr/>
          <w:instrText xml:space="preserve"> PAGE </w:instrText>
        </w:r>
        <w:r>
          <w:rPr/>
          <w:fldChar w:fldCharType="separate"/>
        </w:r>
        <w:r>
          <w:rPr/>
          <w:t>44</w:t>
        </w:r>
        <w:r>
          <w:rPr/>
          <w:fldChar w:fldCharType="end"/>
        </w:r>
      </w:p>
    </w:sdtContent>
  </w:sdt>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00306603"/>
    </w:sdtPr>
    <w:sdtContent>
      <w:p>
        <w:pPr>
          <w:pStyle w:val="Style30"/>
          <w:ind w:hanging="0"/>
          <w:jc w:val="center"/>
          <w:rPr/>
        </w:pPr>
        <w:r>
          <w:rPr/>
          <w:fldChar w:fldCharType="begin"/>
        </w:r>
        <w:r>
          <w:rPr/>
          <w:instrText xml:space="preserve"> PAGE </w:instrText>
        </w:r>
        <w:r>
          <w:rPr/>
          <w:fldChar w:fldCharType="separate"/>
        </w:r>
        <w:r>
          <w:rPr/>
          <w:t>74</w:t>
        </w:r>
        <w:r>
          <w:rPr/>
          <w:fldChar w:fldCharType="end"/>
        </w:r>
      </w:p>
    </w:sdtContent>
  </w:sdt>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2499063"/>
    </w:sdtPr>
    <w:sdtContent>
      <w:p>
        <w:pPr>
          <w:pStyle w:val="Style30"/>
          <w:ind w:hanging="0"/>
          <w:jc w:val="center"/>
          <w:rPr/>
        </w:pPr>
        <w:r>
          <w:rPr/>
          <w:fldChar w:fldCharType="begin"/>
        </w:r>
        <w:r>
          <w:rPr/>
          <w:instrText xml:space="preserve"> PAGE </w:instrText>
        </w:r>
        <w:r>
          <w:rPr/>
          <w:fldChar w:fldCharType="separate"/>
        </w:r>
        <w:r>
          <w:rPr/>
          <w:t>79</w:t>
        </w:r>
        <w:r>
          <w:rPr/>
          <w:fldChar w:fldCharType="end"/>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72090231"/>
    </w:sdtPr>
    <w:sdtContent>
      <w:p>
        <w:pPr>
          <w:pStyle w:val="Style30"/>
          <w:ind w:hanging="0"/>
          <w:jc w:val="center"/>
          <w:rPr/>
        </w:pPr>
        <w:r>
          <w:rPr/>
          <w:fldChar w:fldCharType="begin"/>
        </w:r>
        <w:r>
          <w:rPr/>
          <w:instrText xml:space="preserve"> PAGE </w:instrText>
        </w:r>
        <w:r>
          <w:rPr/>
          <w:fldChar w:fldCharType="separate"/>
        </w:r>
        <w:r>
          <w:rPr/>
          <w:t>101</w:t>
        </w:r>
        <w:r>
          <w:rPr/>
          <w:fldChar w:fldCharType="end"/>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55428749"/>
    </w:sdtPr>
    <w:sdtContent>
      <w:p>
        <w:pPr>
          <w:pStyle w:val="Style30"/>
          <w:ind w:hanging="0"/>
          <w:jc w:val="center"/>
          <w:rPr/>
        </w:pPr>
        <w:r>
          <w:rPr/>
          <w:fldChar w:fldCharType="begin"/>
        </w:r>
        <w:r>
          <w:rPr/>
          <w:instrText xml:space="preserve"> PAGE </w:instrText>
        </w:r>
        <w:r>
          <w:rPr/>
          <w:fldChar w:fldCharType="separate"/>
        </w:r>
        <w:r>
          <w:rPr/>
          <w:t>105</w:t>
        </w:r>
        <w:r>
          <w:rPr/>
          <w:fldChar w:fldCharType="end"/>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94491788"/>
    </w:sdtPr>
    <w:sdtContent>
      <w:p>
        <w:pPr>
          <w:pStyle w:val="Style30"/>
          <w:ind w:hanging="0"/>
          <w:jc w:val="center"/>
          <w:rPr/>
        </w:pPr>
        <w:r>
          <w:rPr/>
          <w:fldChar w:fldCharType="begin"/>
        </w:r>
        <w:r>
          <w:rPr/>
          <w:instrText xml:space="preserve"> PAGE </w:instrText>
        </w:r>
        <w:r>
          <w:rPr/>
          <w:fldChar w:fldCharType="separate"/>
        </w:r>
        <w:r>
          <w:rPr/>
          <w:t>22</w:t>
        </w:r>
        <w:r>
          <w:rPr/>
          <w:fldChar w:fldCharType="end"/>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77062451"/>
    </w:sdtPr>
    <w:sdtContent>
      <w:p>
        <w:pPr>
          <w:pStyle w:val="Style30"/>
          <w:ind w:hanging="0"/>
          <w:jc w:val="center"/>
          <w:rPr/>
        </w:pPr>
        <w:r>
          <w:rPr/>
          <w:fldChar w:fldCharType="begin"/>
        </w:r>
        <w:r>
          <w:rPr/>
          <w:instrText xml:space="preserve"> PAGE </w:instrText>
        </w:r>
        <w:r>
          <w:rPr/>
          <w:fldChar w:fldCharType="separate"/>
        </w:r>
        <w:r>
          <w:rPr/>
          <w:t>107</w:t>
        </w:r>
        <w:r>
          <w:rPr/>
          <w:fldChar w:fldCharType="end"/>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16528177"/>
    </w:sdtPr>
    <w:sdtContent>
      <w:p>
        <w:pPr>
          <w:pStyle w:val="Style30"/>
          <w:ind w:hanging="0"/>
          <w:jc w:val="center"/>
          <w:rPr/>
        </w:pPr>
        <w:r>
          <w:rPr/>
          <w:fldChar w:fldCharType="begin"/>
        </w:r>
        <w:r>
          <w:rPr/>
          <w:instrText xml:space="preserve"> PAGE </w:instrText>
        </w:r>
        <w:r>
          <w:rPr/>
          <w:fldChar w:fldCharType="separate"/>
        </w:r>
        <w:r>
          <w:rPr/>
          <w:t>110</w:t>
        </w:r>
        <w:r>
          <w:rPr/>
          <w:fldChar w:fldCharType="end"/>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33833166"/>
    </w:sdtPr>
    <w:sdtContent>
      <w:p>
        <w:pPr>
          <w:pStyle w:val="Style30"/>
          <w:ind w:hanging="0"/>
          <w:jc w:val="center"/>
          <w:rPr/>
        </w:pPr>
        <w:r>
          <w:rPr/>
          <w:fldChar w:fldCharType="begin"/>
        </w:r>
        <w:r>
          <w:rPr/>
          <w:instrText xml:space="preserve"> PAGE </w:instrText>
        </w:r>
        <w:r>
          <w:rPr/>
          <w:fldChar w:fldCharType="separate"/>
        </w:r>
        <w:r>
          <w:rPr/>
          <w:t>146</w:t>
        </w:r>
        <w:r>
          <w:rPr/>
          <w:fldChar w:fldCharType="end"/>
        </w:r>
      </w:p>
    </w:sdtContent>
  </w:sdt>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74876691"/>
    </w:sdtPr>
    <w:sdtContent>
      <w:p>
        <w:pPr>
          <w:pStyle w:val="Style30"/>
          <w:ind w:hanging="0"/>
          <w:jc w:val="center"/>
          <w:rPr/>
        </w:pPr>
        <w:r>
          <w:rPr/>
          <w:fldChar w:fldCharType="begin"/>
        </w:r>
        <w:r>
          <w:rPr/>
          <w:instrText xml:space="preserve"> PAGE </w:instrText>
        </w:r>
        <w:r>
          <w:rPr/>
          <w:fldChar w:fldCharType="separate"/>
        </w:r>
        <w:r>
          <w:rPr/>
          <w:t>148</w:t>
        </w:r>
        <w:r>
          <w:rPr/>
          <w:fldChar w:fldCharType="end"/>
        </w:r>
      </w:p>
    </w:sdtContent>
  </w:sdt>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93911620"/>
    </w:sdtPr>
    <w:sdtContent>
      <w:p>
        <w:pPr>
          <w:pStyle w:val="Style30"/>
          <w:ind w:hanging="0"/>
          <w:jc w:val="center"/>
          <w:rPr/>
        </w:pPr>
        <w:r>
          <w:rPr/>
          <w:fldChar w:fldCharType="begin"/>
        </w:r>
        <w:r>
          <w:rPr/>
          <w:instrText xml:space="preserve"> PAGE </w:instrText>
        </w:r>
        <w:r>
          <w:rPr/>
          <w:fldChar w:fldCharType="separate"/>
        </w:r>
        <w:r>
          <w:rPr/>
          <w:t>155</w:t>
        </w:r>
        <w:r>
          <w:rPr/>
          <w:fldChar w:fldCharType="end"/>
        </w:r>
      </w:p>
    </w:sdtContent>
  </w:sdt>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46791909"/>
    </w:sdtPr>
    <w:sdtContent>
      <w:p>
        <w:pPr>
          <w:pStyle w:val="Style30"/>
          <w:ind w:hanging="0"/>
          <w:jc w:val="center"/>
          <w:rPr/>
        </w:pPr>
        <w:r>
          <w:rPr/>
          <w:fldChar w:fldCharType="begin"/>
        </w:r>
        <w:r>
          <w:rPr/>
          <w:instrText xml:space="preserve"> PAGE </w:instrText>
        </w:r>
        <w:r>
          <w:rPr/>
          <w:fldChar w:fldCharType="separate"/>
        </w:r>
        <w:r>
          <w:rPr/>
          <w:t>157</w:t>
        </w:r>
        <w:r>
          <w:rPr/>
          <w:fldChar w:fldCharType="end"/>
        </w:r>
      </w:p>
    </w:sdtContent>
  </w:sdt>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19003154"/>
    </w:sdtPr>
    <w:sdtContent>
      <w:p>
        <w:pPr>
          <w:pStyle w:val="Style30"/>
          <w:ind w:hanging="0"/>
          <w:jc w:val="center"/>
          <w:rPr/>
        </w:pPr>
        <w:r>
          <w:rPr/>
          <w:fldChar w:fldCharType="begin"/>
        </w:r>
        <w:r>
          <w:rPr/>
          <w:instrText xml:space="preserve"> PAGE </w:instrText>
        </w:r>
        <w:r>
          <w:rPr/>
          <w:fldChar w:fldCharType="separate"/>
        </w:r>
        <w:r>
          <w:rPr/>
          <w:t>170</w:t>
        </w:r>
        <w:r>
          <w:rPr/>
          <w:fldChar w:fldCharType="end"/>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75373845"/>
    </w:sdtPr>
    <w:sdtContent>
      <w:p>
        <w:pPr>
          <w:pStyle w:val="Style30"/>
          <w:ind w:hanging="0"/>
          <w:jc w:val="center"/>
          <w:rPr/>
        </w:pPr>
        <w:r>
          <w:rPr/>
          <w:fldChar w:fldCharType="begin"/>
        </w:r>
        <w:r>
          <w:rPr/>
          <w:instrText xml:space="preserve"> PAGE </w:instrText>
        </w:r>
        <w:r>
          <w:rPr/>
          <w:fldChar w:fldCharType="separate"/>
        </w:r>
        <w:r>
          <w:rPr/>
          <w:t>171</w:t>
        </w:r>
        <w:r>
          <w:rPr/>
          <w:fldChar w:fldCharType="end"/>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619365715"/>
    </w:sdtPr>
    <w:sdtContent>
      <w:p>
        <w:pPr>
          <w:pStyle w:val="Style30"/>
          <w:ind w:hanging="0"/>
          <w:jc w:val="center"/>
          <w:rPr/>
        </w:pPr>
        <w:r>
          <w:rPr/>
          <w:fldChar w:fldCharType="begin"/>
        </w:r>
        <w:r>
          <w:rPr/>
          <w:instrText xml:space="preserve"> PAGE </w:instrText>
        </w:r>
        <w:r>
          <w:rPr/>
          <w:fldChar w:fldCharType="separate"/>
        </w:r>
        <w:r>
          <w:rPr/>
          <w:t>174</w:t>
        </w:r>
        <w:r>
          <w:rPr/>
          <w:fldChar w:fldCharType="end"/>
        </w:r>
      </w:p>
    </w:sdtContent>
  </w:sdt>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305052157"/>
    </w:sdtPr>
    <w:sdtContent>
      <w:p>
        <w:pPr>
          <w:pStyle w:val="Style30"/>
          <w:ind w:hanging="0"/>
          <w:jc w:val="center"/>
          <w:rPr/>
        </w:pPr>
        <w:r>
          <w:rPr/>
          <w:fldChar w:fldCharType="begin"/>
        </w:r>
        <w:r>
          <w:rPr/>
          <w:instrText xml:space="preserve"> PAGE </w:instrText>
        </w:r>
        <w:r>
          <w:rPr/>
          <w:fldChar w:fldCharType="separate"/>
        </w:r>
        <w:r>
          <w:rPr/>
          <w:t>177</w:t>
        </w:r>
        <w:r>
          <w:rPr/>
          <w:fldChar w:fldCharType="end"/>
        </w:r>
      </w:p>
    </w:sdtContent>
  </w:sdt>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17203076"/>
    </w:sdtPr>
    <w:sdtContent>
      <w:p>
        <w:pPr>
          <w:pStyle w:val="Style30"/>
          <w:ind w:hanging="0"/>
          <w:jc w:val="center"/>
          <w:rPr/>
        </w:pPr>
        <w:r>
          <w:rPr/>
          <w:fldChar w:fldCharType="begin"/>
        </w:r>
        <w:r>
          <w:rPr/>
          <w:instrText xml:space="preserve"> PAGE </w:instrText>
        </w:r>
        <w:r>
          <w:rPr/>
          <w:fldChar w:fldCharType="separate"/>
        </w:r>
        <w:r>
          <w:rPr/>
          <w:t>28</w:t>
        </w:r>
        <w:r>
          <w:rPr/>
          <w:fldChar w:fldCharType="end"/>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42860678"/>
    </w:sdtPr>
    <w:sdtContent>
      <w:p>
        <w:pPr>
          <w:pStyle w:val="Style30"/>
          <w:ind w:hanging="0"/>
          <w:jc w:val="center"/>
          <w:rPr/>
        </w:pPr>
        <w:r>
          <w:rPr/>
          <w:fldChar w:fldCharType="begin"/>
        </w:r>
        <w:r>
          <w:rPr/>
          <w:instrText xml:space="preserve"> PAGE </w:instrText>
        </w:r>
        <w:r>
          <w:rPr/>
          <w:fldChar w:fldCharType="separate"/>
        </w:r>
        <w:r>
          <w:rPr/>
          <w:t>185</w:t>
        </w:r>
        <w:r>
          <w:rPr/>
          <w:fldChar w:fldCharType="end"/>
        </w:r>
      </w:p>
    </w:sdtContent>
  </w:sdt>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24172268"/>
    </w:sdtPr>
    <w:sdtContent>
      <w:p>
        <w:pPr>
          <w:pStyle w:val="Style30"/>
          <w:ind w:hanging="0"/>
          <w:jc w:val="center"/>
          <w:rPr/>
        </w:pPr>
        <w:r>
          <w:rPr/>
          <w:fldChar w:fldCharType="begin"/>
        </w:r>
        <w:r>
          <w:rPr/>
          <w:instrText xml:space="preserve"> PAGE </w:instrText>
        </w:r>
        <w:r>
          <w:rPr/>
          <w:fldChar w:fldCharType="separate"/>
        </w:r>
        <w:r>
          <w:rPr/>
          <w:t>189</w:t>
        </w:r>
        <w:r>
          <w:rPr/>
          <w:fldChar w:fldCharType="end"/>
        </w:r>
      </w:p>
    </w:sdtContent>
  </w:sdt>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47852105"/>
    </w:sdtPr>
    <w:sdtContent>
      <w:p>
        <w:pPr>
          <w:pStyle w:val="Style30"/>
          <w:ind w:hanging="0"/>
          <w:jc w:val="center"/>
          <w:rPr/>
        </w:pPr>
        <w:r>
          <w:rPr/>
          <w:fldChar w:fldCharType="begin"/>
        </w:r>
        <w:r>
          <w:rPr/>
          <w:instrText xml:space="preserve"> PAGE </w:instrText>
        </w:r>
        <w:r>
          <w:rPr/>
          <w:fldChar w:fldCharType="separate"/>
        </w:r>
        <w:r>
          <w:rPr/>
          <w:t>190</w:t>
        </w:r>
        <w:r>
          <w:rPr/>
          <w:fldChar w:fldCharType="end"/>
        </w:r>
      </w:p>
    </w:sdtContent>
  </w:sdt>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74012639"/>
    </w:sdtPr>
    <w:sdtContent>
      <w:p>
        <w:pPr>
          <w:pStyle w:val="Style30"/>
          <w:ind w:hanging="0"/>
          <w:jc w:val="center"/>
          <w:rPr/>
        </w:pPr>
        <w:r>
          <w:rPr/>
          <w:fldChar w:fldCharType="begin"/>
        </w:r>
        <w:r>
          <w:rPr/>
          <w:instrText xml:space="preserve"> PAGE </w:instrText>
        </w:r>
        <w:r>
          <w:rPr/>
          <w:fldChar w:fldCharType="separate"/>
        </w:r>
        <w:r>
          <w:rPr/>
          <w:t>197</w:t>
        </w:r>
        <w:r>
          <w:rPr/>
          <w:fldChar w:fldCharType="end"/>
        </w:r>
      </w:p>
    </w:sdtContent>
  </w:sdt>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24989820"/>
    </w:sdtPr>
    <w:sdtContent>
      <w:p>
        <w:pPr>
          <w:pStyle w:val="Style30"/>
          <w:ind w:hanging="0"/>
          <w:jc w:val="center"/>
          <w:rPr/>
        </w:pPr>
        <w:r>
          <w:rPr/>
          <w:fldChar w:fldCharType="begin"/>
        </w:r>
        <w:r>
          <w:rPr/>
          <w:instrText xml:space="preserve"> PAGE </w:instrText>
        </w:r>
        <w:r>
          <w:rPr/>
          <w:fldChar w:fldCharType="separate"/>
        </w:r>
        <w:r>
          <w:rPr/>
          <w:t>30</w:t>
        </w:r>
        <w:r>
          <w:rPr/>
          <w:fldChar w:fldCharType="end"/>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65096153"/>
    </w:sdtPr>
    <w:sdtContent>
      <w:p>
        <w:pPr>
          <w:pStyle w:val="Style30"/>
          <w:ind w:hanging="0"/>
          <w:jc w:val="center"/>
          <w:rPr/>
        </w:pPr>
        <w:r>
          <w:rPr/>
          <w:fldChar w:fldCharType="begin"/>
        </w:r>
        <w:r>
          <w:rPr/>
          <w:instrText xml:space="preserve"> PAGE </w:instrText>
        </w:r>
        <w:r>
          <w:rPr/>
          <w:fldChar w:fldCharType="separate"/>
        </w:r>
        <w:r>
          <w:rPr/>
          <w:t>42</w:t>
        </w:r>
        <w:r>
          <w:rPr/>
          <w:fldChar w:fldCharType="end"/>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decimal"/>
      <w:suff w:val="space"/>
      <w:lvlText w:val="Часть %1"/>
      <w:lvlJc w:val="left"/>
      <w:pPr>
        <w:tabs>
          <w:tab w:val="num" w:pos="0"/>
        </w:tabs>
        <w:ind w:left="0" w:firstLine="709"/>
      </w:pPr>
      <w:rPr/>
    </w:lvl>
    <w:lvl w:ilvl="1">
      <w:start w:val="1"/>
      <w:pStyle w:val="2"/>
      <w:numFmt w:val="decimal"/>
      <w:suff w:val="space"/>
      <w:lvlText w:val="Раздел %1.%2"/>
      <w:lvlJc w:val="left"/>
      <w:pPr>
        <w:tabs>
          <w:tab w:val="num" w:pos="0"/>
        </w:tabs>
        <w:ind w:left="0" w:firstLine="709"/>
      </w:pPr>
      <w:rPr/>
    </w:lvl>
    <w:lvl w:ilvl="2">
      <w:start w:val="1"/>
      <w:pStyle w:val="3"/>
      <w:numFmt w:val="decimal"/>
      <w:suff w:val="space"/>
      <w:lvlText w:val="Подраздел %1.%2.%3"/>
      <w:lvlJc w:val="left"/>
      <w:pPr>
        <w:tabs>
          <w:tab w:val="num" w:pos="0"/>
        </w:tabs>
        <w:ind w:left="0" w:firstLine="709"/>
      </w:pPr>
      <w:rPr/>
    </w:lvl>
    <w:lvl w:ilvl="3">
      <w:start w:val="1"/>
      <w:pStyle w:val="4"/>
      <w:numFmt w:val="decimal"/>
      <w:suff w:val="space"/>
      <w:lvlText w:val="Пункт %1.%2.%3.%4"/>
      <w:lvlJc w:val="left"/>
      <w:pPr>
        <w:tabs>
          <w:tab w:val="num" w:pos="0"/>
        </w:tabs>
        <w:ind w:left="0" w:firstLine="709"/>
      </w:pPr>
      <w:rPr/>
    </w:lvl>
    <w:lvl w:ilvl="4">
      <w:start w:val="1"/>
      <w:pStyle w:val="5"/>
      <w:numFmt w:val="decimal"/>
      <w:suff w:val="space"/>
      <w:lvlText w:val="Подпункт %1.%2.%3.%4.%5"/>
      <w:lvlJc w:val="left"/>
      <w:pPr>
        <w:tabs>
          <w:tab w:val="num" w:pos="0"/>
        </w:tabs>
        <w:ind w:left="0" w:firstLine="709"/>
      </w:pPr>
      <w:rPr/>
    </w:lvl>
    <w:lvl w:ilvl="5">
      <w:start w:val="1"/>
      <w:pStyle w:val="6"/>
      <w:numFmt w:val="decimal"/>
      <w:suff w:val="space"/>
      <w:lvlText w:val="%1.%2.%3.%4.%5.%6"/>
      <w:lvlJc w:val="left"/>
      <w:pPr>
        <w:tabs>
          <w:tab w:val="num" w:pos="0"/>
        </w:tabs>
        <w:ind w:left="0" w:firstLine="709"/>
      </w:pPr>
      <w:rPr/>
    </w:lvl>
    <w:lvl w:ilvl="6">
      <w:start w:val="1"/>
      <w:pStyle w:val="7"/>
      <w:numFmt w:val="decimal"/>
      <w:suff w:val="space"/>
      <w:lvlText w:val="%1.%2.%3.%4.%5.%6.%7"/>
      <w:lvlJc w:val="left"/>
      <w:pPr>
        <w:tabs>
          <w:tab w:val="num" w:pos="0"/>
        </w:tabs>
        <w:ind w:left="0" w:firstLine="709"/>
      </w:pPr>
      <w:rPr/>
    </w:lvl>
    <w:lvl w:ilvl="7">
      <w:start w:val="1"/>
      <w:pStyle w:val="8"/>
      <w:numFmt w:val="decimal"/>
      <w:suff w:val="space"/>
      <w:lvlText w:val="%1.%2.%3.%4.%5.%6.%7.%8"/>
      <w:lvlJc w:val="left"/>
      <w:pPr>
        <w:tabs>
          <w:tab w:val="num" w:pos="0"/>
        </w:tabs>
        <w:ind w:left="0" w:firstLine="709"/>
      </w:pPr>
      <w:rPr/>
    </w:lvl>
    <w:lvl w:ilvl="8">
      <w:start w:val="1"/>
      <w:pStyle w:val="9"/>
      <w:numFmt w:val="decimal"/>
      <w:suff w:val="space"/>
      <w:lvlText w:val="%1.%2.%3.%4.%5.%6.%7.%8.%9"/>
      <w:lvlJc w:val="left"/>
      <w:pPr>
        <w:tabs>
          <w:tab w:val="num" w:pos="0"/>
        </w:tabs>
        <w:ind w:left="0" w:firstLine="709"/>
      </w:pPr>
      <w:rPr/>
    </w:lvl>
  </w:abstractNum>
  <w:abstractNum w:abstractNumId="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
    <w:lvl w:ilvl="0">
      <w:start w:val="1"/>
      <w:numFmt w:val="decimal"/>
      <w:suff w:val="space"/>
      <w:lvlText w:val="%1"/>
      <w:lvlJc w:val="left"/>
      <w:pPr>
        <w:tabs>
          <w:tab w:val="num" w:pos="0"/>
        </w:tabs>
        <w:ind w:left="0" w:firstLine="709"/>
      </w:pPr>
      <w:rPr/>
    </w:lvl>
    <w:lvl w:ilvl="1">
      <w:start w:val="1"/>
      <w:numFmt w:val="lowerLetter"/>
      <w:lvlText w:val="%2."/>
      <w:lvlJc w:val="left"/>
      <w:pPr>
        <w:tabs>
          <w:tab w:val="num" w:pos="0"/>
        </w:tabs>
        <w:ind w:left="2149" w:hanging="360"/>
      </w:pPr>
      <w:rPr/>
    </w:lvl>
    <w:lvl w:ilvl="2">
      <w:start w:val="1"/>
      <w:numFmt w:val="lowerRoman"/>
      <w:lvlText w:val="%3."/>
      <w:lvlJc w:val="right"/>
      <w:pPr>
        <w:tabs>
          <w:tab w:val="num" w:pos="0"/>
        </w:tabs>
        <w:ind w:left="2869" w:hanging="180"/>
      </w:pPr>
      <w:rPr/>
    </w:lvl>
    <w:lvl w:ilvl="3">
      <w:start w:val="1"/>
      <w:numFmt w:val="decimal"/>
      <w:lvlText w:val="%4."/>
      <w:lvlJc w:val="left"/>
      <w:pPr>
        <w:tabs>
          <w:tab w:val="num" w:pos="0"/>
        </w:tabs>
        <w:ind w:left="3589" w:hanging="360"/>
      </w:pPr>
      <w:rPr/>
    </w:lvl>
    <w:lvl w:ilvl="4">
      <w:start w:val="1"/>
      <w:numFmt w:val="lowerLetter"/>
      <w:lvlText w:val="%5."/>
      <w:lvlJc w:val="left"/>
      <w:pPr>
        <w:tabs>
          <w:tab w:val="num" w:pos="0"/>
        </w:tabs>
        <w:ind w:left="4309" w:hanging="360"/>
      </w:pPr>
      <w:rPr/>
    </w:lvl>
    <w:lvl w:ilvl="5">
      <w:start w:val="1"/>
      <w:numFmt w:val="lowerRoman"/>
      <w:lvlText w:val="%6."/>
      <w:lvlJc w:val="right"/>
      <w:pPr>
        <w:tabs>
          <w:tab w:val="num" w:pos="0"/>
        </w:tabs>
        <w:ind w:left="5029" w:hanging="180"/>
      </w:pPr>
      <w:rPr/>
    </w:lvl>
    <w:lvl w:ilvl="6">
      <w:start w:val="1"/>
      <w:numFmt w:val="decimal"/>
      <w:lvlText w:val="%7."/>
      <w:lvlJc w:val="left"/>
      <w:pPr>
        <w:tabs>
          <w:tab w:val="num" w:pos="0"/>
        </w:tabs>
        <w:ind w:left="5749" w:hanging="360"/>
      </w:pPr>
      <w:rPr/>
    </w:lvl>
    <w:lvl w:ilvl="7">
      <w:start w:val="1"/>
      <w:numFmt w:val="lowerLetter"/>
      <w:lvlText w:val="%8."/>
      <w:lvlJc w:val="left"/>
      <w:pPr>
        <w:tabs>
          <w:tab w:val="num" w:pos="0"/>
        </w:tabs>
        <w:ind w:left="6469" w:hanging="360"/>
      </w:pPr>
      <w:rPr/>
    </w:lvl>
    <w:lvl w:ilvl="8">
      <w:start w:val="1"/>
      <w:numFmt w:val="lowerRoman"/>
      <w:lvlText w:val="%9."/>
      <w:lvlJc w:val="right"/>
      <w:pPr>
        <w:tabs>
          <w:tab w:val="num" w:pos="0"/>
        </w:tabs>
        <w:ind w:left="7189" w:hanging="180"/>
      </w:pPr>
      <w:rPr/>
    </w:lvl>
  </w:abstractNum>
  <w:abstractNum w:abstractNumId="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9">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6">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1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2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3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4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5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4">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5">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6">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7">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8">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69">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70">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71">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72">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abstractNum w:abstractNumId="73">
    <w:lvl w:ilvl="0">
      <w:start w:val="1"/>
      <w:numFmt w:val="decimal"/>
      <w:suff w:val="space"/>
      <w:lvlText w:val="%1)"/>
      <w:lvlJc w:val="left"/>
      <w:pPr>
        <w:tabs>
          <w:tab w:val="num" w:pos="0"/>
        </w:tabs>
        <w:ind w:left="709" w:hanging="0"/>
      </w:pPr>
      <w:rPr/>
    </w:lvl>
    <w:lvl w:ilvl="1">
      <w:start w:val="1"/>
      <w:numFmt w:val="decimal"/>
      <w:suff w:val="space"/>
      <w:lvlText w:val="%1.%2)"/>
      <w:lvlJc w:val="left"/>
      <w:pPr>
        <w:tabs>
          <w:tab w:val="num" w:pos="0"/>
        </w:tabs>
        <w:ind w:left="709" w:hanging="0"/>
      </w:pPr>
      <w:rPr/>
    </w:lvl>
    <w:lvl w:ilvl="2">
      <w:start w:val="1"/>
      <w:numFmt w:val="decimal"/>
      <w:suff w:val="space"/>
      <w:lvlText w:val="%1.%2.%3)"/>
      <w:lvlJc w:val="left"/>
      <w:pPr>
        <w:tabs>
          <w:tab w:val="num" w:pos="0"/>
        </w:tabs>
        <w:ind w:left="709" w:hanging="0"/>
      </w:pPr>
      <w:rPr/>
    </w:lvl>
    <w:lvl w:ilvl="3">
      <w:start w:val="1"/>
      <w:numFmt w:val="decimal"/>
      <w:lvlText w:val="%1.%2.%3.%4)"/>
      <w:lvlJc w:val="left"/>
      <w:pPr>
        <w:tabs>
          <w:tab w:val="num" w:pos="0"/>
        </w:tabs>
        <w:ind w:left="709" w:hanging="0"/>
      </w:pPr>
      <w:rPr/>
    </w:lvl>
    <w:lvl w:ilvl="4">
      <w:start w:val="1"/>
      <w:numFmt w:val="lowerLetter"/>
      <w:lvlText w:val="%5."/>
      <w:lvlJc w:val="left"/>
      <w:pPr>
        <w:tabs>
          <w:tab w:val="num" w:pos="0"/>
        </w:tabs>
        <w:ind w:left="709" w:hanging="0"/>
      </w:pPr>
      <w:rPr/>
    </w:lvl>
    <w:lvl w:ilvl="5">
      <w:start w:val="1"/>
      <w:numFmt w:val="lowerRoman"/>
      <w:lvlText w:val="%6."/>
      <w:lvlJc w:val="right"/>
      <w:pPr>
        <w:tabs>
          <w:tab w:val="num" w:pos="0"/>
        </w:tabs>
        <w:ind w:left="709" w:hanging="0"/>
      </w:pPr>
      <w:rPr/>
    </w:lvl>
    <w:lvl w:ilvl="6">
      <w:start w:val="1"/>
      <w:numFmt w:val="decimal"/>
      <w:lvlText w:val="%7."/>
      <w:lvlJc w:val="left"/>
      <w:pPr>
        <w:tabs>
          <w:tab w:val="num" w:pos="0"/>
        </w:tabs>
        <w:ind w:left="709" w:hanging="0"/>
      </w:pPr>
      <w:rPr/>
    </w:lvl>
    <w:lvl w:ilvl="7">
      <w:start w:val="1"/>
      <w:numFmt w:val="lowerLetter"/>
      <w:lvlText w:val="%8."/>
      <w:lvlJc w:val="left"/>
      <w:pPr>
        <w:tabs>
          <w:tab w:val="num" w:pos="0"/>
        </w:tabs>
        <w:ind w:left="709" w:hanging="0"/>
      </w:pPr>
      <w:rPr/>
    </w:lvl>
    <w:lvl w:ilvl="8">
      <w:start w:val="1"/>
      <w:numFmt w:val="lowerRoman"/>
      <w:lvlText w:val="%9."/>
      <w:lvlJc w:val="right"/>
      <w:pPr>
        <w:tabs>
          <w:tab w:val="num" w:pos="0"/>
        </w:tabs>
        <w:ind w:left="709" w:hanging="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2"/>
    <w:lvlOverride w:ilvl="0">
      <w:startOverride w:val="1"/>
    </w:lvlOverride>
  </w:num>
  <w:num w:numId="75">
    <w:abstractNumId w:val="2"/>
    <w:lvlOverride w:ilvl="0">
      <w:startOverride w:val="1"/>
    </w:lvlOverride>
  </w:num>
  <w:num w:numId="76">
    <w:abstractNumId w:val="2"/>
    <w:lvlOverride w:ilvl="0">
      <w:startOverride w:val="1"/>
    </w:lvlOverride>
  </w:num>
  <w:num w:numId="77">
    <w:abstractNumId w:val="2"/>
    <w:lvlOverride w:ilvl="0">
      <w:startOverride w:val="1"/>
    </w:lvlOverride>
  </w:num>
  <w:num w:numId="78">
    <w:abstractNumId w:val="2"/>
  </w:num>
  <w:num w:numId="79">
    <w:abstractNumId w:val="2"/>
    <w:lvlOverride w:ilvl="0">
      <w:startOverride w:val="1"/>
    </w:lvlOverride>
  </w:num>
  <w:num w:numId="80">
    <w:abstractNumId w:val="2"/>
    <w:lvlOverride w:ilvl="0">
      <w:startOverride w:val="1"/>
    </w:lvlOverride>
  </w:num>
  <w:num w:numId="81">
    <w:abstractNumId w:val="2"/>
    <w:lvlOverride w:ilvl="0">
      <w:startOverride w:val="1"/>
    </w:lvlOverride>
  </w:num>
  <w:num w:numId="82">
    <w:abstractNumId w:val="2"/>
    <w:lvlOverride w:ilvl="0">
      <w:startOverride w:val="1"/>
    </w:lvlOverride>
  </w:num>
  <w:num w:numId="83">
    <w:abstractNumId w:val="2"/>
    <w:lvlOverride w:ilvl="0">
      <w:startOverride w:val="1"/>
    </w:lvlOverride>
  </w:num>
  <w:num w:numId="84">
    <w:abstractNumId w:val="2"/>
    <w:lvlOverride w:ilvl="0">
      <w:startOverride w:val="1"/>
    </w:lvlOverride>
  </w:num>
  <w:num w:numId="85">
    <w:abstractNumId w:val="2"/>
    <w:lvlOverride w:ilvl="0">
      <w:startOverride w:val="1"/>
    </w:lvlOverride>
  </w:num>
  <w:num w:numId="86">
    <w:abstractNumId w:val="2"/>
    <w:lvlOverride w:ilvl="0">
      <w:startOverride w:val="1"/>
    </w:lvlOverride>
  </w:num>
  <w:num w:numId="87">
    <w:abstractNumId w:val="2"/>
    <w:lvlOverride w:ilvl="0">
      <w:startOverride w:val="1"/>
    </w:lvlOverride>
  </w:num>
  <w:num w:numId="88">
    <w:abstractNumId w:val="2"/>
    <w:lvlOverride w:ilvl="0">
      <w:startOverride w:val="1"/>
    </w:lvlOverride>
  </w:num>
  <w:num w:numId="89">
    <w:abstractNumId w:val="2"/>
    <w:lvlOverride w:ilvl="0">
      <w:startOverride w:val="1"/>
    </w:lvlOverride>
  </w:num>
  <w:num w:numId="90">
    <w:abstractNumId w:val="2"/>
    <w:lvlOverride w:ilvl="0">
      <w:startOverride w:val="1"/>
    </w:lvlOverride>
  </w:num>
  <w:num w:numId="91">
    <w:abstractNumId w:val="2"/>
    <w:lvlOverride w:ilvl="0">
      <w:startOverride w:val="1"/>
    </w:lvlOverride>
  </w:num>
  <w:num w:numId="92">
    <w:abstractNumId w:val="2"/>
    <w:lvlOverride w:ilvl="0">
      <w:startOverride w:val="1"/>
    </w:lvlOverride>
  </w:num>
  <w:num w:numId="93">
    <w:abstractNumId w:val="2"/>
    <w:lvlOverride w:ilvl="0">
      <w:startOverride w:val="1"/>
    </w:lvlOverride>
  </w:num>
  <w:num w:numId="94">
    <w:abstractNumId w:val="2"/>
    <w:lvlOverride w:ilvl="0">
      <w:startOverride w:val="1"/>
    </w:lvlOverride>
  </w:num>
  <w:num w:numId="95">
    <w:abstractNumId w:val="2"/>
    <w:lvlOverride w:ilvl="0">
      <w:startOverride w:val="1"/>
    </w:lvlOverride>
  </w:num>
  <w:num w:numId="96">
    <w:abstractNumId w:val="2"/>
  </w:num>
  <w:num w:numId="97">
    <w:abstractNumId w:val="2"/>
    <w:lvlOverride w:ilvl="0">
      <w:startOverride w:val="1"/>
    </w:lvlOverride>
  </w:num>
  <w:num w:numId="98">
    <w:abstractNumId w:val="2"/>
    <w:lvlOverride w:ilvl="0">
      <w:startOverride w:val="1"/>
    </w:lvlOverride>
  </w:num>
  <w:num w:numId="99">
    <w:abstractNumId w:val="2"/>
    <w:lvlOverride w:ilvl="0">
      <w:startOverride w:val="1"/>
    </w:lvlOverride>
  </w:num>
  <w:num w:numId="100">
    <w:abstractNumId w:val="2"/>
    <w:lvlOverride w:ilvl="0">
      <w:startOverride w:val="1"/>
    </w:lvlOverride>
  </w:num>
  <w:num w:numId="101">
    <w:abstractNumId w:val="2"/>
    <w:lvlOverride w:ilvl="0">
      <w:startOverride w:val="1"/>
    </w:lvlOverride>
  </w:num>
  <w:num w:numId="102">
    <w:abstractNumId w:val="2"/>
    <w:lvlOverride w:ilvl="0">
      <w:startOverride w:val="1"/>
    </w:lvlOverride>
  </w:num>
  <w:num w:numId="103">
    <w:abstractNumId w:val="2"/>
    <w:lvlOverride w:ilvl="0">
      <w:startOverride w:val="1"/>
    </w:lvlOverride>
  </w:num>
  <w:num w:numId="104">
    <w:abstractNumId w:val="2"/>
    <w:lvlOverride w:ilvl="0">
      <w:startOverride w:val="1"/>
    </w:lvlOverride>
  </w:num>
  <w:num w:numId="105">
    <w:abstractNumId w:val="2"/>
    <w:lvlOverride w:ilvl="0">
      <w:startOverride w:val="1"/>
    </w:lvlOverride>
  </w:num>
  <w:num w:numId="106">
    <w:abstractNumId w:val="2"/>
    <w:lvlOverride w:ilvl="0">
      <w:startOverride w:val="1"/>
    </w:lvlOverride>
  </w:num>
  <w:num w:numId="107">
    <w:abstractNumId w:val="2"/>
  </w:num>
  <w:num w:numId="108">
    <w:abstractNumId w:val="2"/>
    <w:lvlOverride w:ilvl="0">
      <w:startOverride w:val="1"/>
    </w:lvlOverride>
  </w:num>
  <w:num w:numId="109">
    <w:abstractNumId w:val="2"/>
    <w:lvlOverride w:ilvl="0">
      <w:startOverride w:val="1"/>
    </w:lvlOverride>
  </w:num>
  <w:num w:numId="110">
    <w:abstractNumId w:val="2"/>
    <w:lvlOverride w:ilvl="0">
      <w:startOverride w:val="1"/>
    </w:lvlOverride>
  </w:num>
  <w:num w:numId="111">
    <w:abstractNumId w:val="2"/>
    <w:lvlOverride w:ilvl="0">
      <w:startOverride w:val="1"/>
    </w:lvlOverride>
  </w:num>
  <w:num w:numId="112">
    <w:abstractNumId w:val="2"/>
    <w:lvlOverride w:ilvl="0">
      <w:startOverride w:val="1"/>
    </w:lvlOverride>
  </w:num>
  <w:num w:numId="113">
    <w:abstractNumId w:val="2"/>
    <w:lvlOverride w:ilvl="0">
      <w:startOverride w:val="1"/>
    </w:lvlOverride>
  </w:num>
  <w:num w:numId="114">
    <w:abstractNumId w:val="2"/>
    <w:lvlOverride w:ilvl="0">
      <w:startOverride w:val="1"/>
    </w:lvlOverride>
  </w:num>
  <w:num w:numId="115">
    <w:abstractNumId w:val="2"/>
  </w:num>
  <w:num w:numId="116">
    <w:abstractNumId w:val="2"/>
    <w:lvlOverride w:ilvl="0">
      <w:startOverride w:val="1"/>
    </w:lvlOverride>
  </w:num>
  <w:num w:numId="117">
    <w:abstractNumId w:val="2"/>
    <w:lvlOverride w:ilvl="0">
      <w:startOverride w:val="1"/>
    </w:lvlOverride>
  </w:num>
  <w:num w:numId="118">
    <w:abstractNumId w:val="2"/>
    <w:lvlOverride w:ilvl="0">
      <w:startOverride w:val="1"/>
    </w:lvlOverride>
  </w:num>
  <w:num w:numId="119">
    <w:abstractNumId w:val="2"/>
    <w:lvlOverride w:ilvl="0">
      <w:startOverride w:val="1"/>
    </w:lvlOverride>
  </w:num>
  <w:num w:numId="120">
    <w:abstractNumId w:val="2"/>
    <w:lvlOverride w:ilvl="0">
      <w:startOverride w:val="1"/>
    </w:lvlOverride>
  </w:num>
  <w:num w:numId="121">
    <w:abstractNumId w:val="2"/>
    <w:lvlOverride w:ilvl="0">
      <w:startOverride w:val="1"/>
    </w:lvlOverride>
  </w:num>
  <w:num w:numId="122">
    <w:abstractNumId w:val="2"/>
    <w:lvlOverride w:ilvl="0">
      <w:startOverride w:val="1"/>
    </w:lvlOverride>
  </w:num>
  <w:num w:numId="123">
    <w:abstractNumId w:val="2"/>
  </w:num>
  <w:num w:numId="124">
    <w:abstractNumId w:val="2"/>
  </w:num>
  <w:num w:numId="125">
    <w:abstractNumId w:val="2"/>
    <w:lvlOverride w:ilvl="0">
      <w:startOverride w:val="1"/>
    </w:lvlOverride>
  </w:num>
  <w:num w:numId="126">
    <w:abstractNumId w:val="2"/>
    <w:lvlOverride w:ilvl="0">
      <w:startOverride w:val="1"/>
    </w:lvlOverride>
  </w:num>
  <w:num w:numId="127">
    <w:abstractNumId w:val="2"/>
    <w:lvlOverride w:ilvl="0">
      <w:startOverride w:val="1"/>
    </w:lvlOverride>
  </w:num>
  <w:num w:numId="128">
    <w:abstractNumId w:val="2"/>
    <w:lvlOverride w:ilvl="0">
      <w:startOverride w:val="1"/>
    </w:lvlOverride>
  </w:num>
  <w:num w:numId="129">
    <w:abstractNumId w:val="2"/>
  </w:num>
  <w:num w:numId="130">
    <w:abstractNumId w:val="2"/>
  </w:num>
  <w:num w:numId="131">
    <w:abstractNumId w:val="2"/>
  </w:num>
  <w:num w:numId="132">
    <w:abstractNumId w:val="2"/>
    <w:lvlOverride w:ilvl="0">
      <w:startOverride w:val="1"/>
    </w:lvlOverride>
  </w:num>
  <w:num w:numId="133">
    <w:abstractNumId w:val="2"/>
  </w:num>
  <w:num w:numId="134">
    <w:abstractNumId w:val="2"/>
  </w:num>
  <w:num w:numId="135">
    <w:abstractNumId w:val="2"/>
  </w:num>
  <w:num w:numId="136">
    <w:abstractNumId w:val="2"/>
  </w:num>
  <w:num w:numId="137">
    <w:abstractNumId w:val="2"/>
  </w:num>
  <w:num w:numId="138">
    <w:abstractNumId w:val="2"/>
  </w:num>
  <w:num w:numId="139">
    <w:abstractNumId w:val="2"/>
    <w:lvlOverride w:ilvl="0">
      <w:startOverride w:val="1"/>
    </w:lvlOverride>
  </w:num>
  <w:num w:numId="140">
    <w:abstractNumId w:val="2"/>
    <w:lvlOverride w:ilvl="0">
      <w:startOverride w:val="1"/>
    </w:lvlOverride>
  </w:num>
  <w:num w:numId="141">
    <w:abstractNumId w:val="2"/>
    <w:lvlOverride w:ilvl="0">
      <w:startOverride w:val="1"/>
    </w:lvlOverride>
  </w:num>
  <w:num w:numId="142">
    <w:abstractNumId w:val="2"/>
    <w:lvlOverride w:ilvl="0">
      <w:startOverride w:val="1"/>
    </w:lvlOverride>
  </w:num>
  <w:num w:numId="143">
    <w:abstractNumId w:val="2"/>
    <w:lvlOverride w:ilvl="0">
      <w:startOverride w:val="1"/>
    </w:lvlOverride>
  </w:num>
  <w:num w:numId="144">
    <w:abstractNumId w:val="2"/>
    <w:lvlOverride w:ilvl="0">
      <w:startOverride w:val="1"/>
    </w:lvlOverride>
  </w:num>
  <w:num w:numId="145">
    <w:abstractNumId w:val="2"/>
  </w:num>
  <w:num w:numId="146">
    <w:abstractNumId w:val="2"/>
  </w:num>
  <w:num w:numId="147">
    <w:abstractNumId w:val="2"/>
  </w:num>
  <w:num w:numId="148">
    <w:abstractNumId w:val="2"/>
  </w:num>
  <w:num w:numId="149">
    <w:abstractNumId w:val="2"/>
  </w:num>
  <w:num w:numId="150">
    <w:abstractNumId w:val="2"/>
  </w:num>
  <w:num w:numId="151">
    <w:abstractNumId w:val="2"/>
  </w:num>
  <w:num w:numId="152">
    <w:abstractNumId w:val="2"/>
  </w:num>
  <w:num w:numId="153">
    <w:abstractNumId w:val="2"/>
    <w:lvlOverride w:ilvl="0">
      <w:startOverride w:val="1"/>
    </w:lvlOverride>
  </w:num>
  <w:num w:numId="154">
    <w:abstractNumId w:val="2"/>
    <w:lvlOverride w:ilvl="0">
      <w:startOverride w:val="1"/>
    </w:lvlOverride>
  </w:num>
  <w:num w:numId="155">
    <w:abstractNumId w:val="2"/>
    <w:lvlOverride w:ilvl="0">
      <w:startOverride w:val="1"/>
    </w:lvlOverride>
  </w:num>
  <w:num w:numId="156">
    <w:abstractNumId w:val="2"/>
    <w:lvlOverride w:ilvl="0">
      <w:startOverride w:val="1"/>
    </w:lvlOverride>
  </w:num>
  <w:num w:numId="157">
    <w:abstractNumId w:val="2"/>
    <w:lvlOverride w:ilvl="0">
      <w:startOverride w:val="1"/>
    </w:lvlOverride>
  </w:num>
  <w:num w:numId="158">
    <w:abstractNumId w:val="2"/>
    <w:lvlOverride w:ilvl="0">
      <w:startOverride w:val="1"/>
    </w:lvlOverride>
  </w:num>
  <w:num w:numId="159">
    <w:abstractNumId w:val="2"/>
    <w:lvlOverride w:ilvl="0">
      <w:startOverride w:val="1"/>
    </w:lvlOverride>
  </w:num>
  <w:num w:numId="160">
    <w:abstractNumId w:val="2"/>
    <w:lvlOverride w:ilvl="0">
      <w:startOverride w:val="1"/>
    </w:lvlOverride>
  </w:num>
  <w:num w:numId="161">
    <w:abstractNumId w:val="2"/>
    <w:lvlOverride w:ilvl="0">
      <w:startOverride w:val="1"/>
    </w:lvlOverride>
  </w:num>
  <w:num w:numId="162">
    <w:abstractNumId w:val="2"/>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Calibri" w:cs="" w:cstheme="minorBidi" w:eastAsiaTheme="minorHAnsi"/>
        <w:sz w:val="24"/>
        <w:szCs w:val="24"/>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3"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4"/>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5"/>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c1e9f"/>
    <w:pPr>
      <w:widowControl/>
      <w:bidi w:val="0"/>
      <w:spacing w:before="120" w:after="120"/>
      <w:ind w:firstLine="709"/>
      <w:jc w:val="both"/>
    </w:pPr>
    <w:rPr>
      <w:rFonts w:ascii="Times New Roman" w:hAnsi="Times New Roman" w:eastAsia="Calibri" w:cs="" w:cstheme="minorBidi" w:eastAsiaTheme="minorHAnsi"/>
      <w:color w:val="auto"/>
      <w:kern w:val="0"/>
      <w:sz w:val="24"/>
      <w:szCs w:val="24"/>
      <w:lang w:val="ru-RU" w:eastAsia="en-US" w:bidi="ar-SA"/>
    </w:rPr>
  </w:style>
  <w:style w:type="paragraph" w:styleId="1">
    <w:name w:val="Heading 1"/>
    <w:basedOn w:val="Normal"/>
    <w:next w:val="2"/>
    <w:link w:val="11"/>
    <w:uiPriority w:val="6"/>
    <w:qFormat/>
    <w:rsid w:val="00d4210d"/>
    <w:pPr>
      <w:keepNext w:val="true"/>
      <w:keepLines/>
      <w:pageBreakBefore/>
      <w:numPr>
        <w:ilvl w:val="0"/>
        <w:numId w:val="1"/>
      </w:numPr>
      <w:outlineLvl w:val="0"/>
    </w:pPr>
    <w:rPr>
      <w:rFonts w:eastAsia="" w:cs="" w:cstheme="majorBidi" w:eastAsiaTheme="majorEastAsia"/>
      <w:b/>
      <w:szCs w:val="32"/>
    </w:rPr>
  </w:style>
  <w:style w:type="paragraph" w:styleId="2">
    <w:name w:val="Heading 2"/>
    <w:basedOn w:val="Normal"/>
    <w:next w:val="Normal"/>
    <w:link w:val="22"/>
    <w:uiPriority w:val="7"/>
    <w:qFormat/>
    <w:rsid w:val="00ef7519"/>
    <w:pPr>
      <w:keepNext w:val="true"/>
      <w:keepLines/>
      <w:pageBreakBefore/>
      <w:numPr>
        <w:ilvl w:val="1"/>
        <w:numId w:val="1"/>
      </w:numPr>
      <w:outlineLvl w:val="1"/>
    </w:pPr>
    <w:rPr>
      <w:rFonts w:eastAsia="" w:cs="" w:cstheme="majorBidi" w:eastAsiaTheme="majorEastAsia"/>
      <w:b/>
      <w:szCs w:val="26"/>
    </w:rPr>
  </w:style>
  <w:style w:type="paragraph" w:styleId="3">
    <w:name w:val="Heading 3"/>
    <w:basedOn w:val="Normal"/>
    <w:next w:val="Normal"/>
    <w:link w:val="31"/>
    <w:uiPriority w:val="8"/>
    <w:qFormat/>
    <w:rsid w:val="00ef7519"/>
    <w:pPr>
      <w:keepNext w:val="true"/>
      <w:keepLines/>
      <w:numPr>
        <w:ilvl w:val="2"/>
        <w:numId w:val="1"/>
      </w:numPr>
      <w:outlineLvl w:val="2"/>
    </w:pPr>
    <w:rPr>
      <w:rFonts w:eastAsia="" w:cs="" w:cstheme="majorBidi" w:eastAsiaTheme="majorEastAsia"/>
      <w:b/>
    </w:rPr>
  </w:style>
  <w:style w:type="paragraph" w:styleId="4">
    <w:name w:val="Heading 4"/>
    <w:basedOn w:val="Normal"/>
    <w:next w:val="Normal"/>
    <w:link w:val="42"/>
    <w:uiPriority w:val="9"/>
    <w:qFormat/>
    <w:rsid w:val="00ef7519"/>
    <w:pPr>
      <w:keepNext w:val="true"/>
      <w:keepLines/>
      <w:numPr>
        <w:ilvl w:val="3"/>
        <w:numId w:val="1"/>
      </w:numPr>
      <w:outlineLvl w:val="3"/>
    </w:pPr>
    <w:rPr>
      <w:rFonts w:eastAsia="" w:cs="" w:cstheme="majorBidi" w:eastAsiaTheme="majorEastAsia"/>
      <w:b/>
      <w:iCs/>
    </w:rPr>
  </w:style>
  <w:style w:type="paragraph" w:styleId="5">
    <w:name w:val="Heading 5"/>
    <w:basedOn w:val="Normal"/>
    <w:next w:val="Normal"/>
    <w:link w:val="52"/>
    <w:uiPriority w:val="10"/>
    <w:qFormat/>
    <w:rsid w:val="00ef7519"/>
    <w:pPr>
      <w:keepNext w:val="true"/>
      <w:keepLines/>
      <w:numPr>
        <w:ilvl w:val="4"/>
        <w:numId w:val="1"/>
      </w:numPr>
      <w:outlineLvl w:val="4"/>
    </w:pPr>
    <w:rPr>
      <w:rFonts w:eastAsia="" w:cs="" w:cstheme="majorBidi" w:eastAsiaTheme="majorEastAsia"/>
      <w:b/>
    </w:rPr>
  </w:style>
  <w:style w:type="paragraph" w:styleId="6">
    <w:name w:val="Heading 6"/>
    <w:basedOn w:val="Normal"/>
    <w:next w:val="Normal"/>
    <w:link w:val="61"/>
    <w:uiPriority w:val="9"/>
    <w:semiHidden/>
    <w:unhideWhenUsed/>
    <w:qFormat/>
    <w:rsid w:val="00346f3b"/>
    <w:pPr>
      <w:keepNext w:val="true"/>
      <w:keepLines/>
      <w:numPr>
        <w:ilvl w:val="5"/>
        <w:numId w:val="1"/>
      </w:numPr>
      <w:spacing w:before="40" w:after="0"/>
      <w:outlineLvl w:val="5"/>
    </w:pPr>
    <w:rPr>
      <w:rFonts w:ascii="Calibri Light" w:hAnsi="Calibri Light" w:eastAsia="" w:cs="" w:asciiTheme="majorHAnsi" w:cstheme="majorBidi" w:eastAsiaTheme="majorEastAsia" w:hAnsiTheme="majorHAnsi"/>
      <w:color w:val="1F3763" w:themeColor="accent1" w:themeShade="7f"/>
    </w:rPr>
  </w:style>
  <w:style w:type="paragraph" w:styleId="7">
    <w:name w:val="Heading 7"/>
    <w:basedOn w:val="Normal"/>
    <w:next w:val="Normal"/>
    <w:link w:val="71"/>
    <w:uiPriority w:val="9"/>
    <w:semiHidden/>
    <w:unhideWhenUsed/>
    <w:qFormat/>
    <w:rsid w:val="00346f3b"/>
    <w:pPr>
      <w:keepNext w:val="true"/>
      <w:keepLines/>
      <w:numPr>
        <w:ilvl w:val="6"/>
        <w:numId w:val="1"/>
      </w:numPr>
      <w:spacing w:before="40" w:after="0"/>
      <w:outlineLvl w:val="6"/>
    </w:pPr>
    <w:rPr>
      <w:rFonts w:ascii="Calibri Light" w:hAnsi="Calibri Light" w:eastAsia="" w:cs="" w:asciiTheme="majorHAnsi" w:cstheme="majorBidi" w:eastAsiaTheme="majorEastAsia" w:hAnsiTheme="majorHAnsi"/>
      <w:i/>
      <w:iCs/>
      <w:color w:val="1F3763" w:themeColor="accent1" w:themeShade="7f"/>
    </w:rPr>
  </w:style>
  <w:style w:type="paragraph" w:styleId="8">
    <w:name w:val="Heading 8"/>
    <w:basedOn w:val="Normal"/>
    <w:next w:val="Normal"/>
    <w:link w:val="81"/>
    <w:uiPriority w:val="9"/>
    <w:semiHidden/>
    <w:unhideWhenUsed/>
    <w:qFormat/>
    <w:rsid w:val="00346f3b"/>
    <w:pPr>
      <w:keepNext w:val="true"/>
      <w:keepLines/>
      <w:numPr>
        <w:ilvl w:val="7"/>
        <w:numId w:val="1"/>
      </w:numPr>
      <w:spacing w:before="40" w:after="0"/>
      <w:outlineLvl w:val="7"/>
    </w:pPr>
    <w:rPr>
      <w:rFonts w:ascii="Calibri Light" w:hAnsi="Calibri Light" w:eastAsia="" w:cs="" w:asciiTheme="majorHAnsi" w:cstheme="majorBidi" w:eastAsiaTheme="majorEastAsia" w:hAnsiTheme="majorHAnsi"/>
      <w:color w:val="272727" w:themeColor="text1" w:themeTint="d8"/>
      <w:sz w:val="21"/>
      <w:szCs w:val="21"/>
    </w:rPr>
  </w:style>
  <w:style w:type="paragraph" w:styleId="9">
    <w:name w:val="Heading 9"/>
    <w:basedOn w:val="Normal"/>
    <w:next w:val="Normal"/>
    <w:link w:val="91"/>
    <w:uiPriority w:val="9"/>
    <w:semiHidden/>
    <w:unhideWhenUsed/>
    <w:qFormat/>
    <w:rsid w:val="00346f3b"/>
    <w:pPr>
      <w:keepNext w:val="true"/>
      <w:keepLines/>
      <w:numPr>
        <w:ilvl w:val="8"/>
        <w:numId w:val="1"/>
      </w:numPr>
      <w:spacing w:before="40" w:after="0"/>
      <w:outlineLvl w:val="8"/>
    </w:pPr>
    <w:rPr>
      <w:rFonts w:ascii="Calibri Light" w:hAnsi="Calibri Light" w:eastAsia="" w:cs="" w:asciiTheme="majorHAnsi" w:cstheme="majorBidi" w:eastAsiaTheme="majorEastAsia" w:hAnsiTheme="majorHAnsi"/>
      <w:i/>
      <w:iCs/>
      <w:color w:val="272727" w:themeColor="text1" w:themeTint="d8"/>
      <w:sz w:val="21"/>
      <w:szCs w:val="21"/>
    </w:rPr>
  </w:style>
  <w:style w:type="character" w:styleId="DefaultParagraphFont" w:default="1">
    <w:name w:val="Default Paragraph Font"/>
    <w:uiPriority w:val="1"/>
    <w:semiHidden/>
    <w:unhideWhenUsed/>
    <w:qFormat/>
    <w:rPr/>
  </w:style>
  <w:style w:type="character" w:styleId="Style5" w:customStyle="1">
    <w:name w:val="Список источников Знак"/>
    <w:basedOn w:val="DefaultParagraphFont"/>
    <w:uiPriority w:val="11"/>
    <w:qFormat/>
    <w:rsid w:val="00314f0f"/>
    <w:rPr>
      <w:lang w:eastAsia="ru-RU"/>
    </w:rPr>
  </w:style>
  <w:style w:type="character" w:styleId="11" w:customStyle="1">
    <w:name w:val="Заголовок 1 Знак"/>
    <w:basedOn w:val="DefaultParagraphFont"/>
    <w:uiPriority w:val="6"/>
    <w:qFormat/>
    <w:rsid w:val="00d4210d"/>
    <w:rPr>
      <w:rFonts w:eastAsia="" w:cs="" w:cstheme="majorBidi" w:eastAsiaTheme="majorEastAsia"/>
      <w:b/>
      <w:szCs w:val="32"/>
    </w:rPr>
  </w:style>
  <w:style w:type="character" w:styleId="Style6" w:customStyle="1">
    <w:name w:val="Название объекта Знак"/>
    <w:basedOn w:val="DefaultParagraphFont"/>
    <w:link w:val="Caption"/>
    <w:uiPriority w:val="2"/>
    <w:qFormat/>
    <w:rsid w:val="001c05ff"/>
    <w:rPr>
      <w:rFonts w:ascii="Times New Roman" w:hAnsi="Times New Roman"/>
      <w:iCs/>
      <w:sz w:val="24"/>
      <w:szCs w:val="18"/>
    </w:rPr>
  </w:style>
  <w:style w:type="character" w:styleId="Style7" w:customStyle="1">
    <w:name w:val="Рис Знак"/>
    <w:basedOn w:val="DefaultParagraphFont"/>
    <w:link w:val="Style26"/>
    <w:uiPriority w:val="1"/>
    <w:qFormat/>
    <w:rsid w:val="0030180c"/>
    <w:rPr/>
  </w:style>
  <w:style w:type="character" w:styleId="Style8" w:customStyle="1">
    <w:name w:val="Оглавление Знак"/>
    <w:basedOn w:val="DefaultParagraphFont"/>
    <w:link w:val="Style27"/>
    <w:uiPriority w:val="5"/>
    <w:qFormat/>
    <w:rsid w:val="005c1e9f"/>
    <w:rPr>
      <w:b/>
      <w:caps/>
    </w:rPr>
  </w:style>
  <w:style w:type="character" w:styleId="Style9" w:customStyle="1">
    <w:name w:val="Без интервала Знак"/>
    <w:link w:val="NoSpacing"/>
    <w:uiPriority w:val="99"/>
    <w:qFormat/>
    <w:rsid w:val="00fd1093"/>
    <w:rPr>
      <w:rFonts w:ascii="Times New Roman" w:hAnsi="Times New Roman" w:cs="Times New Roman"/>
      <w:sz w:val="24"/>
      <w:szCs w:val="24"/>
    </w:rPr>
  </w:style>
  <w:style w:type="character" w:styleId="-">
    <w:name w:val="Hyperlink"/>
    <w:basedOn w:val="DefaultParagraphFont"/>
    <w:uiPriority w:val="99"/>
    <w:unhideWhenUsed/>
    <w:rsid w:val="00952b06"/>
    <w:rPr>
      <w:color w:val="0563C1" w:themeColor="hyperlink"/>
      <w:u w:val="single"/>
    </w:rPr>
  </w:style>
  <w:style w:type="character" w:styleId="Style10" w:customStyle="1">
    <w:name w:val="Верхний колонтитул Знак"/>
    <w:basedOn w:val="DefaultParagraphFont"/>
    <w:uiPriority w:val="99"/>
    <w:qFormat/>
    <w:rsid w:val="0056128f"/>
    <w:rPr>
      <w:rFonts w:ascii="Times New Roman" w:hAnsi="Times New Roman"/>
      <w:sz w:val="24"/>
    </w:rPr>
  </w:style>
  <w:style w:type="character" w:styleId="Style11" w:customStyle="1">
    <w:name w:val="Нижний колонтитул Знак"/>
    <w:basedOn w:val="DefaultParagraphFont"/>
    <w:uiPriority w:val="99"/>
    <w:qFormat/>
    <w:rsid w:val="0056128f"/>
    <w:rPr>
      <w:rFonts w:ascii="Times New Roman" w:hAnsi="Times New Roman"/>
      <w:sz w:val="24"/>
    </w:rPr>
  </w:style>
  <w:style w:type="character" w:styleId="Style12" w:customStyle="1">
    <w:name w:val="Списки Знак"/>
    <w:basedOn w:val="DefaultParagraphFont"/>
    <w:link w:val="Style31"/>
    <w:uiPriority w:val="3"/>
    <w:qFormat/>
    <w:rsid w:val="00de558c"/>
    <w:rPr/>
  </w:style>
  <w:style w:type="character" w:styleId="12" w:customStyle="1">
    <w:name w:val="Часть (ур 1) Знак"/>
    <w:basedOn w:val="DefaultParagraphFont"/>
    <w:link w:val="14"/>
    <w:uiPriority w:val="5"/>
    <w:semiHidden/>
    <w:qFormat/>
    <w:rsid w:val="00346f3b"/>
    <w:rPr>
      <w:rFonts w:eastAsia="" w:cs="" w:cstheme="majorBidi" w:eastAsiaTheme="majorEastAsia"/>
      <w:b/>
      <w:szCs w:val="32"/>
    </w:rPr>
  </w:style>
  <w:style w:type="character" w:styleId="21" w:customStyle="1">
    <w:name w:val="Раздел (ур 2) Знак"/>
    <w:basedOn w:val="DefaultParagraphFont"/>
    <w:link w:val="24"/>
    <w:uiPriority w:val="6"/>
    <w:semiHidden/>
    <w:qFormat/>
    <w:rsid w:val="00346f3b"/>
    <w:rPr>
      <w:b/>
    </w:rPr>
  </w:style>
  <w:style w:type="character" w:styleId="Style13" w:customStyle="1">
    <w:name w:val="Подраздел Знак"/>
    <w:basedOn w:val="21"/>
    <w:link w:val="Style32"/>
    <w:uiPriority w:val="7"/>
    <w:semiHidden/>
    <w:qFormat/>
    <w:rsid w:val="00346f3b"/>
    <w:rPr>
      <w:b/>
    </w:rPr>
  </w:style>
  <w:style w:type="character" w:styleId="41" w:customStyle="1">
    <w:name w:val="Пункт (ур 4) Знак"/>
    <w:basedOn w:val="DefaultParagraphFont"/>
    <w:link w:val="44"/>
    <w:uiPriority w:val="8"/>
    <w:semiHidden/>
    <w:qFormat/>
    <w:rsid w:val="00346f3b"/>
    <w:rPr>
      <w:b/>
    </w:rPr>
  </w:style>
  <w:style w:type="character" w:styleId="51" w:customStyle="1">
    <w:name w:val="Подпункт (ур 5) Знак"/>
    <w:basedOn w:val="DefaultParagraphFont"/>
    <w:link w:val="53"/>
    <w:uiPriority w:val="9"/>
    <w:semiHidden/>
    <w:qFormat/>
    <w:rsid w:val="00346f3b"/>
    <w:rPr>
      <w:b/>
    </w:rPr>
  </w:style>
  <w:style w:type="character" w:styleId="UnresolvedMention">
    <w:name w:val="Unresolved Mention"/>
    <w:basedOn w:val="DefaultParagraphFont"/>
    <w:uiPriority w:val="99"/>
    <w:semiHidden/>
    <w:unhideWhenUsed/>
    <w:qFormat/>
    <w:rsid w:val="000162e2"/>
    <w:rPr>
      <w:color w:val="605E5C"/>
      <w:shd w:fill="E1DFDD" w:val="clear"/>
    </w:rPr>
  </w:style>
  <w:style w:type="character" w:styleId="Style14" w:customStyle="1">
    <w:name w:val="Сп источников Знак"/>
    <w:basedOn w:val="Style12"/>
    <w:link w:val="Style33"/>
    <w:uiPriority w:val="11"/>
    <w:qFormat/>
    <w:rsid w:val="005c1e9f"/>
    <w:rPr/>
  </w:style>
  <w:style w:type="character" w:styleId="Annotationreference">
    <w:name w:val="annotation reference"/>
    <w:basedOn w:val="DefaultParagraphFont"/>
    <w:uiPriority w:val="99"/>
    <w:semiHidden/>
    <w:unhideWhenUsed/>
    <w:qFormat/>
    <w:rsid w:val="00ef3def"/>
    <w:rPr>
      <w:sz w:val="16"/>
      <w:szCs w:val="16"/>
    </w:rPr>
  </w:style>
  <w:style w:type="character" w:styleId="Style15" w:customStyle="1">
    <w:name w:val="Текст примечания Знак"/>
    <w:basedOn w:val="DefaultParagraphFont"/>
    <w:link w:val="Annotationtext"/>
    <w:uiPriority w:val="99"/>
    <w:semiHidden/>
    <w:qFormat/>
    <w:rsid w:val="00ef3def"/>
    <w:rPr>
      <w:sz w:val="20"/>
      <w:szCs w:val="20"/>
    </w:rPr>
  </w:style>
  <w:style w:type="character" w:styleId="Style16" w:customStyle="1">
    <w:name w:val="Тема примечания Знак"/>
    <w:basedOn w:val="Style15"/>
    <w:link w:val="Annotationsubject"/>
    <w:uiPriority w:val="99"/>
    <w:semiHidden/>
    <w:qFormat/>
    <w:rsid w:val="00ef3def"/>
    <w:rPr>
      <w:b/>
      <w:bCs/>
      <w:sz w:val="20"/>
      <w:szCs w:val="20"/>
    </w:rPr>
  </w:style>
  <w:style w:type="character" w:styleId="Style17" w:customStyle="1">
    <w:name w:val="Назв табл Знак"/>
    <w:basedOn w:val="Style6"/>
    <w:link w:val="Style34"/>
    <w:uiPriority w:val="3"/>
    <w:qFormat/>
    <w:rsid w:val="00db246a"/>
    <w:rPr>
      <w:rFonts w:ascii="Times New Roman" w:hAnsi="Times New Roman"/>
      <w:iCs/>
      <w:sz w:val="24"/>
      <w:szCs w:val="18"/>
    </w:rPr>
  </w:style>
  <w:style w:type="character" w:styleId="22" w:customStyle="1">
    <w:name w:val="Заголовок 2 Знак"/>
    <w:basedOn w:val="DefaultParagraphFont"/>
    <w:uiPriority w:val="7"/>
    <w:qFormat/>
    <w:rsid w:val="005c1e9f"/>
    <w:rPr>
      <w:rFonts w:eastAsia="" w:cs="" w:cstheme="majorBidi" w:eastAsiaTheme="majorEastAsia"/>
      <w:b/>
      <w:szCs w:val="26"/>
    </w:rPr>
  </w:style>
  <w:style w:type="character" w:styleId="31" w:customStyle="1">
    <w:name w:val="Заголовок 3 Знак"/>
    <w:basedOn w:val="DefaultParagraphFont"/>
    <w:uiPriority w:val="8"/>
    <w:qFormat/>
    <w:rsid w:val="005c1e9f"/>
    <w:rPr>
      <w:rFonts w:eastAsia="" w:cs="" w:cstheme="majorBidi" w:eastAsiaTheme="majorEastAsia"/>
      <w:b/>
    </w:rPr>
  </w:style>
  <w:style w:type="character" w:styleId="42" w:customStyle="1">
    <w:name w:val="Заголовок 4 Знак"/>
    <w:basedOn w:val="DefaultParagraphFont"/>
    <w:uiPriority w:val="9"/>
    <w:qFormat/>
    <w:rsid w:val="005c1e9f"/>
    <w:rPr>
      <w:rFonts w:eastAsia="" w:cs="" w:cstheme="majorBidi" w:eastAsiaTheme="majorEastAsia"/>
      <w:b/>
      <w:iCs/>
    </w:rPr>
  </w:style>
  <w:style w:type="character" w:styleId="52" w:customStyle="1">
    <w:name w:val="Заголовок 5 Знак"/>
    <w:basedOn w:val="DefaultParagraphFont"/>
    <w:uiPriority w:val="10"/>
    <w:qFormat/>
    <w:rsid w:val="005c1e9f"/>
    <w:rPr>
      <w:rFonts w:eastAsia="" w:cs="" w:cstheme="majorBidi" w:eastAsiaTheme="majorEastAsia"/>
      <w:b/>
    </w:rPr>
  </w:style>
  <w:style w:type="character" w:styleId="61" w:customStyle="1">
    <w:name w:val="Заголовок 6 Знак"/>
    <w:basedOn w:val="DefaultParagraphFont"/>
    <w:uiPriority w:val="9"/>
    <w:semiHidden/>
    <w:qFormat/>
    <w:rsid w:val="00346f3b"/>
    <w:rPr>
      <w:rFonts w:ascii="Calibri Light" w:hAnsi="Calibri Light" w:eastAsia="" w:cs="" w:asciiTheme="majorHAnsi" w:cstheme="majorBidi" w:eastAsiaTheme="majorEastAsia" w:hAnsiTheme="majorHAnsi"/>
      <w:color w:val="1F3763" w:themeColor="accent1" w:themeShade="7f"/>
    </w:rPr>
  </w:style>
  <w:style w:type="character" w:styleId="71" w:customStyle="1">
    <w:name w:val="Заголовок 7 Знак"/>
    <w:basedOn w:val="DefaultParagraphFont"/>
    <w:uiPriority w:val="9"/>
    <w:semiHidden/>
    <w:qFormat/>
    <w:rsid w:val="00346f3b"/>
    <w:rPr>
      <w:rFonts w:ascii="Calibri Light" w:hAnsi="Calibri Light" w:eastAsia="" w:cs="" w:asciiTheme="majorHAnsi" w:cstheme="majorBidi" w:eastAsiaTheme="majorEastAsia" w:hAnsiTheme="majorHAnsi"/>
      <w:i/>
      <w:iCs/>
      <w:color w:val="1F3763" w:themeColor="accent1" w:themeShade="7f"/>
    </w:rPr>
  </w:style>
  <w:style w:type="character" w:styleId="81" w:customStyle="1">
    <w:name w:val="Заголовок 8 Знак"/>
    <w:basedOn w:val="DefaultParagraphFont"/>
    <w:uiPriority w:val="9"/>
    <w:semiHidden/>
    <w:qFormat/>
    <w:rsid w:val="00346f3b"/>
    <w:rPr>
      <w:rFonts w:ascii="Calibri Light" w:hAnsi="Calibri Light" w:eastAsia="" w:cs="" w:asciiTheme="majorHAnsi" w:cstheme="majorBidi" w:eastAsiaTheme="majorEastAsia" w:hAnsiTheme="majorHAnsi"/>
      <w:color w:val="272727" w:themeColor="text1" w:themeTint="d8"/>
      <w:sz w:val="21"/>
      <w:szCs w:val="21"/>
    </w:rPr>
  </w:style>
  <w:style w:type="character" w:styleId="91" w:customStyle="1">
    <w:name w:val="Заголовок 9 Знак"/>
    <w:basedOn w:val="DefaultParagraphFont"/>
    <w:uiPriority w:val="9"/>
    <w:semiHidden/>
    <w:qFormat/>
    <w:rsid w:val="00346f3b"/>
    <w:rPr>
      <w:rFonts w:ascii="Calibri Light" w:hAnsi="Calibri Light" w:eastAsia="" w:cs="" w:asciiTheme="majorHAnsi" w:cstheme="majorBidi" w:eastAsiaTheme="majorEastAsia" w:hAnsiTheme="majorHAnsi"/>
      <w:i/>
      <w:iCs/>
      <w:color w:val="272727" w:themeColor="text1" w:themeTint="d8"/>
      <w:sz w:val="21"/>
      <w:szCs w:val="21"/>
    </w:rPr>
  </w:style>
  <w:style w:type="character" w:styleId="Style18" w:customStyle="1">
    <w:name w:val="Примечание Знак"/>
    <w:basedOn w:val="DefaultParagraphFont"/>
    <w:link w:val="Style35"/>
    <w:uiPriority w:val="4"/>
    <w:qFormat/>
    <w:rsid w:val="005c1e9f"/>
    <w:rPr>
      <w:i/>
    </w:rPr>
  </w:style>
  <w:style w:type="character" w:styleId="Style19">
    <w:name w:val="FollowedHyperlink"/>
    <w:basedOn w:val="DefaultParagraphFont"/>
    <w:uiPriority w:val="99"/>
    <w:semiHidden/>
    <w:unhideWhenUsed/>
    <w:rsid w:val="006e4be3"/>
    <w:rPr>
      <w:color w:val="954F72" w:themeColor="followedHyperlink"/>
      <w:u w:val="single"/>
    </w:rPr>
  </w:style>
  <w:style w:type="character" w:styleId="0" w:customStyle="1">
    <w:name w:val="0 уровень Знак"/>
    <w:basedOn w:val="DefaultParagraphFont"/>
    <w:link w:val="01"/>
    <w:qFormat/>
    <w:rsid w:val="0003620b"/>
    <w:rPr>
      <w:rFonts w:cs="Times New Roman"/>
      <w:b/>
      <w:lang w:eastAsia="ru-RU"/>
    </w:rPr>
  </w:style>
  <w:style w:type="character" w:styleId="Style20">
    <w:name w:val="Ссылка указателя"/>
    <w:qFormat/>
    <w:rPr/>
  </w:style>
  <w:style w:type="paragraph" w:styleId="Style21">
    <w:name w:val="Заголовок"/>
    <w:basedOn w:val="Normal"/>
    <w:next w:val="Style22"/>
    <w:qFormat/>
    <w:pPr>
      <w:keepNext w:val="true"/>
      <w:spacing w:before="240" w:after="120"/>
    </w:pPr>
    <w:rPr>
      <w:rFonts w:ascii="PT Astra Serif" w:hAnsi="PT Astra Serif" w:eastAsia="Tahoma" w:cs="Noto Sans Devanagari"/>
      <w:sz w:val="28"/>
      <w:szCs w:val="28"/>
    </w:rPr>
  </w:style>
  <w:style w:type="paragraph" w:styleId="Style22">
    <w:name w:val="Body Text"/>
    <w:basedOn w:val="Normal"/>
    <w:pPr>
      <w:spacing w:lineRule="auto" w:line="276" w:before="0" w:after="140"/>
    </w:pPr>
    <w:rPr/>
  </w:style>
  <w:style w:type="paragraph" w:styleId="Style23">
    <w:name w:val="List"/>
    <w:basedOn w:val="Style22"/>
    <w:pPr/>
    <w:rPr>
      <w:rFonts w:ascii="PT Astra Serif" w:hAnsi="PT Astra Serif" w:cs="Noto Sans Devanagari"/>
    </w:rPr>
  </w:style>
  <w:style w:type="paragraph" w:styleId="Style24">
    <w:name w:val="Caption"/>
    <w:basedOn w:val="Normal"/>
    <w:qFormat/>
    <w:pPr>
      <w:suppressLineNumbers/>
      <w:spacing w:before="120" w:after="120"/>
    </w:pPr>
    <w:rPr>
      <w:rFonts w:ascii="PT Astra Serif" w:hAnsi="PT Astra Serif" w:cs="Noto Sans Devanagari"/>
      <w:i/>
      <w:iCs/>
      <w:sz w:val="24"/>
      <w:szCs w:val="24"/>
    </w:rPr>
  </w:style>
  <w:style w:type="paragraph" w:styleId="Style25">
    <w:name w:val="Указатель"/>
    <w:basedOn w:val="Normal"/>
    <w:qFormat/>
    <w:pPr>
      <w:suppressLineNumbers/>
    </w:pPr>
    <w:rPr>
      <w:rFonts w:ascii="PT Astra Serif" w:hAnsi="PT Astra Serif" w:cs="Noto Sans Devanagari"/>
    </w:rPr>
  </w:style>
  <w:style w:type="paragraph" w:styleId="Caption">
    <w:name w:val="caption"/>
    <w:basedOn w:val="Normal"/>
    <w:next w:val="Normal"/>
    <w:link w:val="Style6"/>
    <w:uiPriority w:val="2"/>
    <w:unhideWhenUsed/>
    <w:qFormat/>
    <w:rsid w:val="00100266"/>
    <w:pPr>
      <w:spacing w:before="0" w:after="120"/>
      <w:ind w:hanging="0"/>
      <w:jc w:val="center"/>
    </w:pPr>
    <w:rPr>
      <w:iCs/>
      <w:szCs w:val="18"/>
    </w:rPr>
  </w:style>
  <w:style w:type="paragraph" w:styleId="Style26" w:customStyle="1">
    <w:name w:val="Рис"/>
    <w:basedOn w:val="Normal"/>
    <w:next w:val="Caption"/>
    <w:link w:val="Style7"/>
    <w:uiPriority w:val="1"/>
    <w:qFormat/>
    <w:rsid w:val="0030180c"/>
    <w:pPr>
      <w:keepNext w:val="true"/>
      <w:spacing w:before="120" w:after="0"/>
      <w:ind w:hanging="0"/>
      <w:jc w:val="center"/>
    </w:pPr>
    <w:rPr/>
  </w:style>
  <w:style w:type="paragraph" w:styleId="Style27" w:customStyle="1">
    <w:name w:val="Оглавление"/>
    <w:basedOn w:val="Normal"/>
    <w:next w:val="Normal"/>
    <w:link w:val="Style8"/>
    <w:uiPriority w:val="5"/>
    <w:qFormat/>
    <w:rsid w:val="00fd3ab8"/>
    <w:pPr>
      <w:pageBreakBefore/>
      <w:ind w:hanging="0"/>
      <w:jc w:val="center"/>
      <w:outlineLvl w:val="0"/>
    </w:pPr>
    <w:rPr>
      <w:b/>
      <w:caps/>
    </w:rPr>
  </w:style>
  <w:style w:type="paragraph" w:styleId="NoSpacing">
    <w:name w:val="No Spacing"/>
    <w:link w:val="Style9"/>
    <w:uiPriority w:val="99"/>
    <w:qFormat/>
    <w:rsid w:val="00fd1093"/>
    <w:pPr>
      <w:widowControl/>
      <w:bidi w:val="0"/>
      <w:spacing w:before="120" w:after="120"/>
      <w:ind w:firstLine="709"/>
      <w:jc w:val="both"/>
    </w:pPr>
    <w:rPr>
      <w:rFonts w:cs="Times New Roman" w:ascii="Times New Roman" w:hAnsi="Times New Roman" w:eastAsia="Calibri" w:eastAsiaTheme="minorHAnsi"/>
      <w:color w:val="auto"/>
      <w:kern w:val="0"/>
      <w:sz w:val="24"/>
      <w:szCs w:val="24"/>
      <w:lang w:val="ru-RU" w:eastAsia="en-US" w:bidi="ar-SA"/>
    </w:rPr>
  </w:style>
  <w:style w:type="paragraph" w:styleId="13">
    <w:name w:val="TOC 1"/>
    <w:basedOn w:val="Normal"/>
    <w:next w:val="Normal"/>
    <w:autoRedefine/>
    <w:uiPriority w:val="39"/>
    <w:unhideWhenUsed/>
    <w:rsid w:val="00952b06"/>
    <w:pPr>
      <w:spacing w:before="120" w:after="100"/>
      <w:ind w:hanging="0"/>
    </w:pPr>
    <w:rPr/>
  </w:style>
  <w:style w:type="paragraph" w:styleId="23">
    <w:name w:val="TOC 2"/>
    <w:basedOn w:val="Normal"/>
    <w:next w:val="Normal"/>
    <w:autoRedefine/>
    <w:uiPriority w:val="39"/>
    <w:unhideWhenUsed/>
    <w:rsid w:val="00f83d9c"/>
    <w:pPr>
      <w:tabs>
        <w:tab w:val="clear" w:pos="708"/>
        <w:tab w:val="right" w:pos="9345" w:leader="dot"/>
      </w:tabs>
      <w:spacing w:before="120" w:after="100"/>
      <w:ind w:hanging="0"/>
    </w:pPr>
    <w:rPr/>
  </w:style>
  <w:style w:type="paragraph" w:styleId="32">
    <w:name w:val="TOC 3"/>
    <w:basedOn w:val="Normal"/>
    <w:next w:val="Normal"/>
    <w:autoRedefine/>
    <w:uiPriority w:val="39"/>
    <w:unhideWhenUsed/>
    <w:rsid w:val="00952b06"/>
    <w:pPr>
      <w:spacing w:before="120" w:after="100"/>
      <w:ind w:hanging="0"/>
    </w:pPr>
    <w:rPr/>
  </w:style>
  <w:style w:type="paragraph" w:styleId="43">
    <w:name w:val="TOC 4"/>
    <w:basedOn w:val="Normal"/>
    <w:next w:val="Normal"/>
    <w:autoRedefine/>
    <w:uiPriority w:val="39"/>
    <w:unhideWhenUsed/>
    <w:rsid w:val="00952b06"/>
    <w:pPr>
      <w:spacing w:before="120" w:after="100"/>
      <w:ind w:hanging="0"/>
    </w:pPr>
    <w:rPr/>
  </w:style>
  <w:style w:type="paragraph" w:styleId="Style28">
    <w:name w:val="Колонтитул"/>
    <w:basedOn w:val="Normal"/>
    <w:qFormat/>
    <w:pPr/>
    <w:rPr/>
  </w:style>
  <w:style w:type="paragraph" w:styleId="Style29">
    <w:name w:val="Header"/>
    <w:basedOn w:val="Normal"/>
    <w:link w:val="Style10"/>
    <w:uiPriority w:val="99"/>
    <w:unhideWhenUsed/>
    <w:rsid w:val="0056128f"/>
    <w:pPr>
      <w:tabs>
        <w:tab w:val="clear" w:pos="708"/>
        <w:tab w:val="center" w:pos="4677" w:leader="none"/>
        <w:tab w:val="right" w:pos="9355" w:leader="none"/>
      </w:tabs>
      <w:spacing w:before="0" w:after="0"/>
    </w:pPr>
    <w:rPr/>
  </w:style>
  <w:style w:type="paragraph" w:styleId="Style30">
    <w:name w:val="Footer"/>
    <w:basedOn w:val="Normal"/>
    <w:link w:val="Style11"/>
    <w:uiPriority w:val="99"/>
    <w:unhideWhenUsed/>
    <w:rsid w:val="0056128f"/>
    <w:pPr>
      <w:tabs>
        <w:tab w:val="clear" w:pos="708"/>
        <w:tab w:val="center" w:pos="4677" w:leader="none"/>
        <w:tab w:val="right" w:pos="9355" w:leader="none"/>
      </w:tabs>
      <w:spacing w:before="0" w:after="0"/>
    </w:pPr>
    <w:rPr/>
  </w:style>
  <w:style w:type="paragraph" w:styleId="Style31" w:customStyle="1">
    <w:name w:val="Списки"/>
    <w:basedOn w:val="ListParagraph"/>
    <w:link w:val="Style12"/>
    <w:uiPriority w:val="3"/>
    <w:qFormat/>
    <w:rsid w:val="00de558c"/>
    <w:pPr>
      <w:numPr>
        <w:ilvl w:val="0"/>
        <w:numId w:val="2"/>
      </w:numPr>
      <w:spacing w:before="120" w:after="120"/>
      <w:contextualSpacing w:val="false"/>
    </w:pPr>
    <w:rPr/>
  </w:style>
  <w:style w:type="paragraph" w:styleId="ListParagraph">
    <w:name w:val="List Paragraph"/>
    <w:basedOn w:val="Normal"/>
    <w:uiPriority w:val="34"/>
    <w:qFormat/>
    <w:rsid w:val="00fd3ab8"/>
    <w:pPr>
      <w:spacing w:before="120" w:after="120"/>
      <w:ind w:left="720" w:firstLine="709"/>
      <w:contextualSpacing/>
    </w:pPr>
    <w:rPr/>
  </w:style>
  <w:style w:type="paragraph" w:styleId="14" w:customStyle="1">
    <w:name w:val="Часть (ур 1)"/>
    <w:basedOn w:val="1"/>
    <w:next w:val="24"/>
    <w:link w:val="12"/>
    <w:uiPriority w:val="5"/>
    <w:semiHidden/>
    <w:qFormat/>
    <w:rsid w:val="00346f3b"/>
    <w:pPr>
      <w:numPr>
        <w:ilvl w:val="0"/>
        <w:numId w:val="0"/>
      </w:numPr>
      <w:ind w:firstLine="709"/>
    </w:pPr>
    <w:rPr/>
  </w:style>
  <w:style w:type="paragraph" w:styleId="24" w:customStyle="1">
    <w:name w:val="Раздел (ур 2)"/>
    <w:basedOn w:val="Normal"/>
    <w:next w:val="Normal"/>
    <w:link w:val="21"/>
    <w:uiPriority w:val="6"/>
    <w:semiHidden/>
    <w:qFormat/>
    <w:rsid w:val="00974888"/>
    <w:pPr>
      <w:keepLines/>
      <w:pageBreakBefore/>
      <w:ind w:hanging="0"/>
      <w:outlineLvl w:val="1"/>
    </w:pPr>
    <w:rPr>
      <w:b/>
    </w:rPr>
  </w:style>
  <w:style w:type="paragraph" w:styleId="Style32" w:customStyle="1">
    <w:name w:val="Подраздел"/>
    <w:basedOn w:val="Normal"/>
    <w:next w:val="Normal"/>
    <w:link w:val="Style13"/>
    <w:uiPriority w:val="7"/>
    <w:semiHidden/>
    <w:qFormat/>
    <w:rsid w:val="00ca1d5e"/>
    <w:pPr>
      <w:keepLines/>
      <w:ind w:hanging="0"/>
      <w:outlineLvl w:val="2"/>
    </w:pPr>
    <w:rPr>
      <w:b/>
    </w:rPr>
  </w:style>
  <w:style w:type="paragraph" w:styleId="44" w:customStyle="1">
    <w:name w:val="Пункт (ур 4)"/>
    <w:basedOn w:val="Normal"/>
    <w:next w:val="Normal"/>
    <w:link w:val="41"/>
    <w:uiPriority w:val="8"/>
    <w:semiHidden/>
    <w:qFormat/>
    <w:rsid w:val="00ca1d5e"/>
    <w:pPr>
      <w:keepLines/>
      <w:ind w:hanging="0"/>
      <w:outlineLvl w:val="3"/>
    </w:pPr>
    <w:rPr>
      <w:b/>
    </w:rPr>
  </w:style>
  <w:style w:type="paragraph" w:styleId="53" w:customStyle="1">
    <w:name w:val="Подпункт (ур 5)"/>
    <w:basedOn w:val="Normal"/>
    <w:next w:val="Normal"/>
    <w:link w:val="51"/>
    <w:uiPriority w:val="9"/>
    <w:semiHidden/>
    <w:qFormat/>
    <w:rsid w:val="00ca1d5e"/>
    <w:pPr>
      <w:keepLines/>
      <w:ind w:hanging="0"/>
      <w:outlineLvl w:val="4"/>
    </w:pPr>
    <w:rPr>
      <w:b/>
    </w:rPr>
  </w:style>
  <w:style w:type="paragraph" w:styleId="54">
    <w:name w:val="TOC 5"/>
    <w:basedOn w:val="Normal"/>
    <w:next w:val="Normal"/>
    <w:autoRedefine/>
    <w:uiPriority w:val="39"/>
    <w:unhideWhenUsed/>
    <w:rsid w:val="000162e2"/>
    <w:pPr>
      <w:spacing w:lineRule="auto" w:line="259" w:before="0" w:after="100"/>
      <w:ind w:left="880" w:hanging="0"/>
    </w:pPr>
    <w:rPr>
      <w:rFonts w:ascii="Calibri" w:hAnsi="Calibri" w:eastAsia="" w:asciiTheme="minorHAnsi" w:eastAsiaTheme="minorEastAsia" w:hAnsiTheme="minorHAnsi"/>
      <w:sz w:val="22"/>
      <w:szCs w:val="22"/>
      <w:lang w:eastAsia="ru-RU"/>
    </w:rPr>
  </w:style>
  <w:style w:type="paragraph" w:styleId="62">
    <w:name w:val="TOC 6"/>
    <w:basedOn w:val="Normal"/>
    <w:next w:val="Normal"/>
    <w:autoRedefine/>
    <w:uiPriority w:val="39"/>
    <w:unhideWhenUsed/>
    <w:rsid w:val="000162e2"/>
    <w:pPr>
      <w:spacing w:lineRule="auto" w:line="259" w:before="0" w:after="100"/>
      <w:ind w:left="1100" w:hanging="0"/>
    </w:pPr>
    <w:rPr>
      <w:rFonts w:ascii="Calibri" w:hAnsi="Calibri" w:eastAsia="" w:asciiTheme="minorHAnsi" w:eastAsiaTheme="minorEastAsia" w:hAnsiTheme="minorHAnsi"/>
      <w:sz w:val="22"/>
      <w:szCs w:val="22"/>
      <w:lang w:eastAsia="ru-RU"/>
    </w:rPr>
  </w:style>
  <w:style w:type="paragraph" w:styleId="72">
    <w:name w:val="TOC 7"/>
    <w:basedOn w:val="Normal"/>
    <w:next w:val="Normal"/>
    <w:autoRedefine/>
    <w:uiPriority w:val="39"/>
    <w:unhideWhenUsed/>
    <w:rsid w:val="000162e2"/>
    <w:pPr>
      <w:spacing w:lineRule="auto" w:line="259" w:before="0" w:after="100"/>
      <w:ind w:left="1320" w:hanging="0"/>
    </w:pPr>
    <w:rPr>
      <w:rFonts w:ascii="Calibri" w:hAnsi="Calibri" w:eastAsia="" w:asciiTheme="minorHAnsi" w:eastAsiaTheme="minorEastAsia" w:hAnsiTheme="minorHAnsi"/>
      <w:sz w:val="22"/>
      <w:szCs w:val="22"/>
      <w:lang w:eastAsia="ru-RU"/>
    </w:rPr>
  </w:style>
  <w:style w:type="paragraph" w:styleId="82">
    <w:name w:val="TOC 8"/>
    <w:basedOn w:val="Normal"/>
    <w:next w:val="Normal"/>
    <w:autoRedefine/>
    <w:uiPriority w:val="39"/>
    <w:unhideWhenUsed/>
    <w:rsid w:val="000162e2"/>
    <w:pPr>
      <w:spacing w:lineRule="auto" w:line="259" w:before="0" w:after="100"/>
      <w:ind w:left="1540" w:hanging="0"/>
    </w:pPr>
    <w:rPr>
      <w:rFonts w:ascii="Calibri" w:hAnsi="Calibri" w:eastAsia="" w:asciiTheme="minorHAnsi" w:eastAsiaTheme="minorEastAsia" w:hAnsiTheme="minorHAnsi"/>
      <w:sz w:val="22"/>
      <w:szCs w:val="22"/>
      <w:lang w:eastAsia="ru-RU"/>
    </w:rPr>
  </w:style>
  <w:style w:type="paragraph" w:styleId="92">
    <w:name w:val="TOC 9"/>
    <w:basedOn w:val="Normal"/>
    <w:next w:val="Normal"/>
    <w:autoRedefine/>
    <w:uiPriority w:val="39"/>
    <w:unhideWhenUsed/>
    <w:rsid w:val="000162e2"/>
    <w:pPr>
      <w:spacing w:lineRule="auto" w:line="259" w:before="0" w:after="100"/>
      <w:ind w:left="1760" w:hanging="0"/>
    </w:pPr>
    <w:rPr>
      <w:rFonts w:ascii="Calibri" w:hAnsi="Calibri" w:eastAsia="" w:asciiTheme="minorHAnsi" w:eastAsiaTheme="minorEastAsia" w:hAnsiTheme="minorHAnsi"/>
      <w:sz w:val="22"/>
      <w:szCs w:val="22"/>
      <w:lang w:eastAsia="ru-RU"/>
    </w:rPr>
  </w:style>
  <w:style w:type="paragraph" w:styleId="Style33" w:customStyle="1">
    <w:name w:val="Сп источников"/>
    <w:basedOn w:val="Normal"/>
    <w:link w:val="Style14"/>
    <w:uiPriority w:val="11"/>
    <w:qFormat/>
    <w:rsid w:val="00db246a"/>
    <w:pPr>
      <w:keepLines/>
      <w:numPr>
        <w:ilvl w:val="0"/>
        <w:numId w:val="3"/>
      </w:numPr>
    </w:pPr>
    <w:rPr/>
  </w:style>
  <w:style w:type="paragraph" w:styleId="Annotationtext">
    <w:name w:val="annotation text"/>
    <w:basedOn w:val="Normal"/>
    <w:link w:val="Style15"/>
    <w:uiPriority w:val="99"/>
    <w:semiHidden/>
    <w:unhideWhenUsed/>
    <w:qFormat/>
    <w:rsid w:val="00ef3def"/>
    <w:pPr/>
    <w:rPr>
      <w:sz w:val="20"/>
      <w:szCs w:val="20"/>
    </w:rPr>
  </w:style>
  <w:style w:type="paragraph" w:styleId="Annotationsubject">
    <w:name w:val="annotation subject"/>
    <w:basedOn w:val="Annotationtext"/>
    <w:next w:val="Annotationtext"/>
    <w:link w:val="Style16"/>
    <w:uiPriority w:val="99"/>
    <w:semiHidden/>
    <w:unhideWhenUsed/>
    <w:qFormat/>
    <w:rsid w:val="00ef3def"/>
    <w:pPr/>
    <w:rPr>
      <w:b/>
      <w:bCs/>
    </w:rPr>
  </w:style>
  <w:style w:type="paragraph" w:styleId="Style34" w:customStyle="1">
    <w:name w:val="Назв табл"/>
    <w:basedOn w:val="Caption"/>
    <w:link w:val="Style17"/>
    <w:uiPriority w:val="3"/>
    <w:qFormat/>
    <w:rsid w:val="00da6cd7"/>
    <w:pPr>
      <w:keepNext w:val="true"/>
      <w:spacing w:before="0" w:after="0"/>
      <w:jc w:val="both"/>
    </w:pPr>
    <w:rPr/>
  </w:style>
  <w:style w:type="paragraph" w:styleId="Style35" w:customStyle="1">
    <w:name w:val="Примечание"/>
    <w:basedOn w:val="Normal"/>
    <w:next w:val="Normal"/>
    <w:link w:val="Style18"/>
    <w:uiPriority w:val="4"/>
    <w:qFormat/>
    <w:rsid w:val="005c1e9f"/>
    <w:pPr/>
    <w:rPr>
      <w:i/>
    </w:rPr>
  </w:style>
  <w:style w:type="paragraph" w:styleId="Msonormal" w:customStyle="1">
    <w:name w:val="msonormal"/>
    <w:basedOn w:val="Normal"/>
    <w:qFormat/>
    <w:rsid w:val="00e8160d"/>
    <w:pPr>
      <w:spacing w:beforeAutospacing="1" w:afterAutospacing="1"/>
      <w:ind w:hanging="0"/>
      <w:jc w:val="left"/>
    </w:pPr>
    <w:rPr>
      <w:rFonts w:eastAsia="Times New Roman" w:cs="Times New Roman"/>
      <w:lang w:eastAsia="ru-RU"/>
    </w:rPr>
  </w:style>
  <w:style w:type="paragraph" w:styleId="Font5" w:customStyle="1">
    <w:name w:val="font5"/>
    <w:basedOn w:val="Normal"/>
    <w:qFormat/>
    <w:rsid w:val="00e8160d"/>
    <w:pPr>
      <w:spacing w:beforeAutospacing="1" w:afterAutospacing="1"/>
      <w:ind w:hanging="0"/>
      <w:jc w:val="left"/>
    </w:pPr>
    <w:rPr>
      <w:rFonts w:eastAsia="Times New Roman" w:cs="Times New Roman"/>
      <w:sz w:val="20"/>
      <w:szCs w:val="20"/>
      <w:lang w:eastAsia="ru-RU"/>
    </w:rPr>
  </w:style>
  <w:style w:type="paragraph" w:styleId="Xl63" w:customStyle="1">
    <w:name w:val="xl63"/>
    <w:basedOn w:val="Normal"/>
    <w:qFormat/>
    <w:rsid w:val="00e8160d"/>
    <w:pPr>
      <w:spacing w:beforeAutospacing="1" w:afterAutospacing="1"/>
      <w:ind w:hanging="0"/>
      <w:jc w:val="left"/>
    </w:pPr>
    <w:rPr>
      <w:rFonts w:eastAsia="Times New Roman" w:cs="Times New Roman"/>
      <w:lang w:eastAsia="ru-RU"/>
    </w:rPr>
  </w:style>
  <w:style w:type="paragraph" w:styleId="Xl64" w:customStyle="1">
    <w:name w:val="xl64"/>
    <w:basedOn w:val="Normal"/>
    <w:qFormat/>
    <w:rsid w:val="00e8160d"/>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65" w:customStyle="1">
    <w:name w:val="xl65"/>
    <w:basedOn w:val="Normal"/>
    <w:qFormat/>
    <w:rsid w:val="00e8160d"/>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lang w:eastAsia="ru-RU"/>
    </w:rPr>
  </w:style>
  <w:style w:type="paragraph" w:styleId="Xl66" w:customStyle="1">
    <w:name w:val="xl66"/>
    <w:basedOn w:val="Normal"/>
    <w:qFormat/>
    <w:rsid w:val="00e8160d"/>
    <w:pPr>
      <w:pBdr>
        <w:top w:val="single" w:sz="4" w:space="0" w:color="000000"/>
        <w:left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67" w:customStyle="1">
    <w:name w:val="xl67"/>
    <w:basedOn w:val="Normal"/>
    <w:qFormat/>
    <w:rsid w:val="00e8160d"/>
    <w:pPr>
      <w:pBdr>
        <w:top w:val="single" w:sz="4" w:space="0" w:color="000000"/>
        <w:left w:val="single" w:sz="4" w:space="0" w:color="000000"/>
        <w:right w:val="single" w:sz="4" w:space="0" w:color="000000"/>
      </w:pBdr>
      <w:spacing w:beforeAutospacing="1" w:afterAutospacing="1"/>
      <w:ind w:hanging="0"/>
      <w:jc w:val="left"/>
      <w:textAlignment w:val="center"/>
    </w:pPr>
    <w:rPr>
      <w:rFonts w:eastAsia="Times New Roman" w:cs="Times New Roman"/>
      <w:lang w:eastAsia="ru-RU"/>
    </w:rPr>
  </w:style>
  <w:style w:type="paragraph" w:styleId="Font0" w:customStyle="1">
    <w:name w:val="font0"/>
    <w:basedOn w:val="Normal"/>
    <w:qFormat/>
    <w:rsid w:val="00ff5d27"/>
    <w:pPr>
      <w:spacing w:beforeAutospacing="1" w:afterAutospacing="1"/>
      <w:ind w:hanging="0"/>
      <w:jc w:val="left"/>
    </w:pPr>
    <w:rPr>
      <w:rFonts w:eastAsia="Times New Roman" w:cs="Times New Roman"/>
      <w:color w:val="000000"/>
      <w:sz w:val="20"/>
      <w:szCs w:val="20"/>
      <w:lang w:eastAsia="ru-RU"/>
    </w:rPr>
  </w:style>
  <w:style w:type="paragraph" w:styleId="Xl143" w:customStyle="1">
    <w:name w:val="xl143"/>
    <w:basedOn w:val="Normal"/>
    <w:qFormat/>
    <w:rsid w:val="00ff5d2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44" w:customStyle="1">
    <w:name w:val="xl144"/>
    <w:basedOn w:val="Normal"/>
    <w:qFormat/>
    <w:rsid w:val="00ff5d2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45" w:customStyle="1">
    <w:name w:val="xl145"/>
    <w:basedOn w:val="Normal"/>
    <w:qFormat/>
    <w:rsid w:val="00ff5d27"/>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lang w:eastAsia="ru-RU"/>
    </w:rPr>
  </w:style>
  <w:style w:type="paragraph" w:styleId="Xl146" w:customStyle="1">
    <w:name w:val="xl146"/>
    <w:basedOn w:val="Normal"/>
    <w:qFormat/>
    <w:rsid w:val="00ff5d27"/>
    <w:pPr>
      <w:pBdr>
        <w:top w:val="single" w:sz="4" w:space="0" w:color="000000"/>
        <w:left w:val="single" w:sz="4" w:space="0" w:color="000000"/>
        <w:bottom w:val="single" w:sz="4" w:space="0" w:color="000000"/>
      </w:pBdr>
      <w:spacing w:beforeAutospacing="1" w:afterAutospacing="1"/>
      <w:ind w:hanging="0"/>
      <w:jc w:val="center"/>
      <w:textAlignment w:val="center"/>
    </w:pPr>
    <w:rPr>
      <w:rFonts w:eastAsia="Times New Roman" w:cs="Times New Roman"/>
      <w:lang w:eastAsia="ru-RU"/>
    </w:rPr>
  </w:style>
  <w:style w:type="paragraph" w:styleId="Xl147" w:customStyle="1">
    <w:name w:val="xl147"/>
    <w:basedOn w:val="Normal"/>
    <w:qFormat/>
    <w:rsid w:val="00ff5d27"/>
    <w:pPr>
      <w:pBdr>
        <w:top w:val="single" w:sz="4" w:space="0" w:color="000000"/>
        <w:bottom w:val="single" w:sz="4" w:space="0" w:color="000000"/>
      </w:pBdr>
      <w:spacing w:beforeAutospacing="1" w:afterAutospacing="1"/>
      <w:ind w:hanging="0"/>
      <w:jc w:val="center"/>
      <w:textAlignment w:val="center"/>
    </w:pPr>
    <w:rPr>
      <w:rFonts w:eastAsia="Times New Roman" w:cs="Times New Roman"/>
      <w:lang w:eastAsia="ru-RU"/>
    </w:rPr>
  </w:style>
  <w:style w:type="paragraph" w:styleId="Xl148" w:customStyle="1">
    <w:name w:val="xl148"/>
    <w:basedOn w:val="Normal"/>
    <w:qFormat/>
    <w:rsid w:val="00ff5d27"/>
    <w:pPr>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49" w:customStyle="1">
    <w:name w:val="xl149"/>
    <w:basedOn w:val="Normal"/>
    <w:qFormat/>
    <w:rsid w:val="00ff5d27"/>
    <w:pPr>
      <w:pBdr>
        <w:top w:val="single" w:sz="4" w:space="0" w:color="000000"/>
        <w:left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50" w:customStyle="1">
    <w:name w:val="xl150"/>
    <w:basedOn w:val="Normal"/>
    <w:qFormat/>
    <w:rsid w:val="00ff5d27"/>
    <w:pPr>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51" w:customStyle="1">
    <w:name w:val="xl151"/>
    <w:basedOn w:val="Normal"/>
    <w:qFormat/>
    <w:rsid w:val="00ff5d2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52" w:customStyle="1">
    <w:name w:val="xl152"/>
    <w:basedOn w:val="Normal"/>
    <w:qFormat/>
    <w:rsid w:val="00ff5d2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24" w:customStyle="1">
    <w:name w:val="xl124"/>
    <w:basedOn w:val="Normal"/>
    <w:qFormat/>
    <w:rsid w:val="00d8477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25" w:customStyle="1">
    <w:name w:val="xl125"/>
    <w:basedOn w:val="Normal"/>
    <w:qFormat/>
    <w:rsid w:val="00d8477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26" w:customStyle="1">
    <w:name w:val="xl126"/>
    <w:basedOn w:val="Normal"/>
    <w:qFormat/>
    <w:rsid w:val="00d84777"/>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lang w:eastAsia="ru-RU"/>
    </w:rPr>
  </w:style>
  <w:style w:type="paragraph" w:styleId="Xl127" w:customStyle="1">
    <w:name w:val="xl127"/>
    <w:basedOn w:val="Normal"/>
    <w:qFormat/>
    <w:rsid w:val="00d8477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28" w:customStyle="1">
    <w:name w:val="xl128"/>
    <w:basedOn w:val="Normal"/>
    <w:qFormat/>
    <w:rsid w:val="00d8477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29" w:customStyle="1">
    <w:name w:val="xl129"/>
    <w:basedOn w:val="Normal"/>
    <w:qFormat/>
    <w:rsid w:val="00d84777"/>
    <w:pPr>
      <w:pBdr>
        <w:top w:val="single" w:sz="4" w:space="0" w:color="000000"/>
        <w:left w:val="single" w:sz="4" w:space="0" w:color="000000"/>
        <w:bottom w:val="single" w:sz="4" w:space="0" w:color="000000"/>
      </w:pBdr>
      <w:spacing w:beforeAutospacing="1" w:afterAutospacing="1"/>
      <w:ind w:hanging="0"/>
      <w:jc w:val="center"/>
      <w:textAlignment w:val="center"/>
    </w:pPr>
    <w:rPr>
      <w:rFonts w:eastAsia="Times New Roman" w:cs="Times New Roman"/>
      <w:lang w:eastAsia="ru-RU"/>
    </w:rPr>
  </w:style>
  <w:style w:type="paragraph" w:styleId="Xl130" w:customStyle="1">
    <w:name w:val="xl130"/>
    <w:basedOn w:val="Normal"/>
    <w:qFormat/>
    <w:rsid w:val="00d84777"/>
    <w:pPr>
      <w:pBdr>
        <w:top w:val="single" w:sz="4" w:space="0" w:color="000000"/>
        <w:bottom w:val="single" w:sz="4" w:space="0" w:color="000000"/>
      </w:pBdr>
      <w:spacing w:beforeAutospacing="1" w:afterAutospacing="1"/>
      <w:ind w:hanging="0"/>
      <w:jc w:val="center"/>
      <w:textAlignment w:val="center"/>
    </w:pPr>
    <w:rPr>
      <w:rFonts w:eastAsia="Times New Roman" w:cs="Times New Roman"/>
      <w:lang w:eastAsia="ru-RU"/>
    </w:rPr>
  </w:style>
  <w:style w:type="paragraph" w:styleId="Xl131" w:customStyle="1">
    <w:name w:val="xl131"/>
    <w:basedOn w:val="Normal"/>
    <w:qFormat/>
    <w:rsid w:val="00d84777"/>
    <w:pPr>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32" w:customStyle="1">
    <w:name w:val="xl132"/>
    <w:basedOn w:val="Normal"/>
    <w:qFormat/>
    <w:rsid w:val="00d84777"/>
    <w:pPr>
      <w:pBdr>
        <w:top w:val="single" w:sz="4" w:space="0" w:color="000000"/>
        <w:left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33" w:customStyle="1">
    <w:name w:val="xl133"/>
    <w:basedOn w:val="Normal"/>
    <w:qFormat/>
    <w:rsid w:val="00d84777"/>
    <w:pPr>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Font6" w:customStyle="1">
    <w:name w:val="font6"/>
    <w:basedOn w:val="Normal"/>
    <w:qFormat/>
    <w:rsid w:val="0003620b"/>
    <w:pPr>
      <w:spacing w:beforeAutospacing="1" w:afterAutospacing="1"/>
      <w:ind w:hanging="0"/>
      <w:jc w:val="left"/>
    </w:pPr>
    <w:rPr>
      <w:rFonts w:eastAsia="Times New Roman" w:cs="Times New Roman"/>
      <w:color w:val="000000"/>
      <w:sz w:val="18"/>
      <w:szCs w:val="18"/>
      <w:lang w:eastAsia="ru-RU"/>
    </w:rPr>
  </w:style>
  <w:style w:type="paragraph" w:styleId="Xl68" w:customStyle="1">
    <w:name w:val="xl68"/>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69" w:customStyle="1">
    <w:name w:val="xl69"/>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sz w:val="18"/>
      <w:szCs w:val="18"/>
      <w:lang w:eastAsia="ru-RU"/>
    </w:rPr>
  </w:style>
  <w:style w:type="paragraph" w:styleId="Xl70" w:customStyle="1">
    <w:name w:val="xl70"/>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color w:val="000000"/>
      <w:sz w:val="18"/>
      <w:szCs w:val="18"/>
      <w:lang w:eastAsia="ru-RU"/>
    </w:rPr>
  </w:style>
  <w:style w:type="paragraph" w:styleId="Xl71" w:customStyle="1">
    <w:name w:val="xl71"/>
    <w:basedOn w:val="Normal"/>
    <w:qFormat/>
    <w:rsid w:val="0003620b"/>
    <w:pPr>
      <w:spacing w:beforeAutospacing="1" w:afterAutospacing="1"/>
      <w:ind w:hanging="0"/>
      <w:jc w:val="center"/>
      <w:textAlignment w:val="center"/>
    </w:pPr>
    <w:rPr>
      <w:rFonts w:eastAsia="Times New Roman" w:cs="Times New Roman"/>
      <w:sz w:val="18"/>
      <w:szCs w:val="18"/>
      <w:lang w:eastAsia="ru-RU"/>
    </w:rPr>
  </w:style>
  <w:style w:type="paragraph" w:styleId="Xl72" w:customStyle="1">
    <w:name w:val="xl72"/>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73" w:customStyle="1">
    <w:name w:val="xl73"/>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pPr>
    <w:rPr>
      <w:rFonts w:eastAsia="Times New Roman" w:cs="Times New Roman"/>
      <w:sz w:val="18"/>
      <w:szCs w:val="18"/>
      <w:lang w:eastAsia="ru-RU"/>
    </w:rPr>
  </w:style>
  <w:style w:type="paragraph" w:styleId="Xl74" w:customStyle="1">
    <w:name w:val="xl74"/>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color w:val="000000"/>
      <w:sz w:val="18"/>
      <w:szCs w:val="18"/>
      <w:lang w:eastAsia="ru-RU"/>
    </w:rPr>
  </w:style>
  <w:style w:type="paragraph" w:styleId="Xl75" w:customStyle="1">
    <w:name w:val="xl75"/>
    <w:basedOn w:val="Normal"/>
    <w:qFormat/>
    <w:rsid w:val="0003620b"/>
    <w:pPr>
      <w:spacing w:beforeAutospacing="1" w:afterAutospacing="1"/>
      <w:ind w:hanging="0"/>
      <w:jc w:val="center"/>
      <w:textAlignment w:val="center"/>
    </w:pPr>
    <w:rPr>
      <w:rFonts w:eastAsia="Times New Roman" w:cs="Times New Roman"/>
      <w:sz w:val="18"/>
      <w:szCs w:val="18"/>
      <w:lang w:eastAsia="ru-RU"/>
    </w:rPr>
  </w:style>
  <w:style w:type="paragraph" w:styleId="Xl76" w:customStyle="1">
    <w:name w:val="xl76"/>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77" w:customStyle="1">
    <w:name w:val="xl77"/>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78" w:customStyle="1">
    <w:name w:val="xl78"/>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79" w:customStyle="1">
    <w:name w:val="xl79"/>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80" w:customStyle="1">
    <w:name w:val="xl80"/>
    <w:basedOn w:val="Normal"/>
    <w:qFormat/>
    <w:rsid w:val="0003620b"/>
    <w:pPr>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color w:val="000000"/>
      <w:sz w:val="18"/>
      <w:szCs w:val="18"/>
      <w:lang w:eastAsia="ru-RU"/>
    </w:rPr>
  </w:style>
  <w:style w:type="paragraph" w:styleId="Xl81" w:customStyle="1">
    <w:name w:val="xl81"/>
    <w:basedOn w:val="Normal"/>
    <w:qFormat/>
    <w:rsid w:val="0003620b"/>
    <w:pPr>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82" w:customStyle="1">
    <w:name w:val="xl82"/>
    <w:basedOn w:val="Normal"/>
    <w:qFormat/>
    <w:rsid w:val="0003620b"/>
    <w:pPr>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83" w:customStyle="1">
    <w:name w:val="xl83"/>
    <w:basedOn w:val="Normal"/>
    <w:qFormat/>
    <w:rsid w:val="0003620b"/>
    <w:pPr>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84" w:customStyle="1">
    <w:name w:val="xl84"/>
    <w:basedOn w:val="Normal"/>
    <w:qFormat/>
    <w:rsid w:val="0003620b"/>
    <w:pPr>
      <w:pBdr>
        <w:top w:val="single" w:sz="4" w:space="0" w:color="000000"/>
        <w:left w:val="single" w:sz="4" w:space="0" w:color="000000"/>
        <w:bottom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Xl85" w:customStyle="1">
    <w:name w:val="xl85"/>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8"/>
      <w:szCs w:val="18"/>
      <w:lang w:eastAsia="ru-RU"/>
    </w:rPr>
  </w:style>
  <w:style w:type="paragraph" w:styleId="01" w:customStyle="1">
    <w:name w:val="0 уровень"/>
    <w:basedOn w:val="1"/>
    <w:link w:val="0"/>
    <w:qFormat/>
    <w:rsid w:val="0003620b"/>
    <w:pPr>
      <w:numPr>
        <w:ilvl w:val="0"/>
        <w:numId w:val="0"/>
      </w:numPr>
      <w:ind w:firstLine="709"/>
      <w:jc w:val="center"/>
    </w:pPr>
    <w:rPr>
      <w:rFonts w:eastAsia="Calibri" w:cs="Times New Roman" w:eastAsiaTheme="minorHAnsi"/>
      <w:szCs w:val="24"/>
      <w:lang w:eastAsia="ru-RU"/>
    </w:rPr>
  </w:style>
  <w:style w:type="paragraph" w:styleId="Xl41276" w:customStyle="1">
    <w:name w:val="xl41276"/>
    <w:basedOn w:val="Normal"/>
    <w:qFormat/>
    <w:rsid w:val="0003620b"/>
    <w:pPr>
      <w:spacing w:beforeAutospacing="1" w:afterAutospacing="1"/>
      <w:ind w:hanging="0"/>
      <w:jc w:val="center"/>
      <w:textAlignment w:val="center"/>
    </w:pPr>
    <w:rPr>
      <w:rFonts w:eastAsia="Times New Roman" w:cs="Times New Roman"/>
      <w:sz w:val="16"/>
      <w:szCs w:val="16"/>
      <w:lang w:eastAsia="ru-RU"/>
    </w:rPr>
  </w:style>
  <w:style w:type="paragraph" w:styleId="Xl41277" w:customStyle="1">
    <w:name w:val="xl41277"/>
    <w:basedOn w:val="Normal"/>
    <w:qFormat/>
    <w:rsid w:val="0003620b"/>
    <w:pPr>
      <w:spacing w:beforeAutospacing="1" w:afterAutospacing="1"/>
      <w:ind w:hanging="0"/>
      <w:jc w:val="center"/>
      <w:textAlignment w:val="center"/>
    </w:pPr>
    <w:rPr>
      <w:rFonts w:eastAsia="Times New Roman" w:cs="Times New Roman"/>
      <w:b/>
      <w:bCs/>
      <w:sz w:val="16"/>
      <w:szCs w:val="16"/>
      <w:lang w:eastAsia="ru-RU"/>
    </w:rPr>
  </w:style>
  <w:style w:type="paragraph" w:styleId="Xl41278" w:customStyle="1">
    <w:name w:val="xl41278"/>
    <w:basedOn w:val="Normal"/>
    <w:qFormat/>
    <w:rsid w:val="0003620b"/>
    <w:pPr>
      <w:spacing w:beforeAutospacing="1" w:afterAutospacing="1"/>
      <w:ind w:hanging="0"/>
      <w:jc w:val="center"/>
      <w:textAlignment w:val="center"/>
    </w:pPr>
    <w:rPr>
      <w:rFonts w:eastAsia="Times New Roman" w:cs="Times New Roman"/>
      <w:sz w:val="16"/>
      <w:szCs w:val="16"/>
      <w:lang w:eastAsia="ru-RU"/>
    </w:rPr>
  </w:style>
  <w:style w:type="paragraph" w:styleId="Xl41279" w:customStyle="1">
    <w:name w:val="xl41279"/>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0" w:customStyle="1">
    <w:name w:val="xl41280"/>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1" w:customStyle="1">
    <w:name w:val="xl41281"/>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2" w:customStyle="1">
    <w:name w:val="xl41282"/>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3" w:customStyle="1">
    <w:name w:val="xl41283"/>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4" w:customStyle="1">
    <w:name w:val="xl41284"/>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5" w:customStyle="1">
    <w:name w:val="xl41285"/>
    <w:basedOn w:val="Normal"/>
    <w:qFormat/>
    <w:rsid w:val="0003620b"/>
    <w:pPr>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sz w:val="16"/>
      <w:szCs w:val="16"/>
      <w:lang w:eastAsia="ru-RU"/>
    </w:rPr>
  </w:style>
  <w:style w:type="paragraph" w:styleId="Xl41286" w:customStyle="1">
    <w:name w:val="xl41286"/>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color w:val="000000"/>
      <w:sz w:val="16"/>
      <w:szCs w:val="16"/>
      <w:lang w:eastAsia="ru-RU"/>
    </w:rPr>
  </w:style>
  <w:style w:type="paragraph" w:styleId="Xl41287" w:customStyle="1">
    <w:name w:val="xl41287"/>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color w:val="000000"/>
      <w:sz w:val="16"/>
      <w:szCs w:val="16"/>
      <w:lang w:eastAsia="ru-RU"/>
    </w:rPr>
  </w:style>
  <w:style w:type="paragraph" w:styleId="Xl41288" w:customStyle="1">
    <w:name w:val="xl41288"/>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pPr>
    <w:rPr>
      <w:rFonts w:eastAsia="Times New Roman" w:cs="Times New Roman"/>
      <w:color w:val="000000"/>
      <w:sz w:val="16"/>
      <w:szCs w:val="16"/>
      <w:lang w:eastAsia="ru-RU"/>
    </w:rPr>
  </w:style>
  <w:style w:type="paragraph" w:styleId="Xl41289" w:customStyle="1">
    <w:name w:val="xl41289"/>
    <w:basedOn w:val="Normal"/>
    <w:qFormat/>
    <w:rsid w:val="0003620b"/>
    <w:pPr>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sz w:val="16"/>
      <w:szCs w:val="16"/>
      <w:lang w:eastAsia="ru-RU"/>
    </w:rPr>
  </w:style>
  <w:style w:type="paragraph" w:styleId="Xl41290" w:customStyle="1">
    <w:name w:val="xl41290"/>
    <w:basedOn w:val="Normal"/>
    <w:qFormat/>
    <w:rsid w:val="0003620b"/>
    <w:pPr>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Times New Roman"/>
      <w:sz w:val="16"/>
      <w:szCs w:val="16"/>
      <w:lang w:eastAsia="ru-RU"/>
    </w:rPr>
  </w:style>
  <w:style w:type="paragraph" w:styleId="Xl134" w:customStyle="1">
    <w:name w:val="xl134"/>
    <w:basedOn w:val="Normal"/>
    <w:qFormat/>
    <w:rsid w:val="003d555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35" w:customStyle="1">
    <w:name w:val="xl135"/>
    <w:basedOn w:val="Normal"/>
    <w:qFormat/>
    <w:rsid w:val="003d5557"/>
    <w:pPr>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36" w:customStyle="1">
    <w:name w:val="xl136"/>
    <w:basedOn w:val="Normal"/>
    <w:qFormat/>
    <w:rsid w:val="003d5557"/>
    <w:pPr>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center"/>
      <w:textAlignment w:val="center"/>
    </w:pPr>
    <w:rPr>
      <w:rFonts w:eastAsia="Times New Roman" w:cs="Times New Roman"/>
      <w:lang w:eastAsia="ru-RU"/>
    </w:rPr>
  </w:style>
  <w:style w:type="paragraph" w:styleId="Xl137" w:customStyle="1">
    <w:name w:val="xl137"/>
    <w:basedOn w:val="Normal"/>
    <w:qFormat/>
    <w:rsid w:val="00ac6661"/>
    <w:pPr>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Times New Roman"/>
      <w:lang w:eastAsia="ru-RU"/>
    </w:rPr>
  </w:style>
  <w:style w:type="paragraph" w:styleId="Xl138" w:customStyle="1">
    <w:name w:val="xl138"/>
    <w:basedOn w:val="Normal"/>
    <w:qFormat/>
    <w:rsid w:val="00ac6661"/>
    <w:pPr>
      <w:pBdr>
        <w:top w:val="single" w:sz="4" w:space="0" w:color="000000"/>
        <w:bottom w:val="single" w:sz="4" w:space="0" w:color="000000"/>
      </w:pBdr>
      <w:spacing w:beforeAutospacing="1" w:afterAutospacing="1"/>
      <w:ind w:hanging="0"/>
      <w:jc w:val="center"/>
      <w:textAlignment w:val="center"/>
    </w:pPr>
    <w:rPr>
      <w:rFonts w:eastAsia="Times New Roman" w:cs="Times New Roman"/>
      <w:lang w:eastAsia="ru-RU"/>
    </w:rPr>
  </w:style>
  <w:style w:type="paragraph" w:styleId="Revision">
    <w:name w:val="Revision"/>
    <w:uiPriority w:val="99"/>
    <w:semiHidden/>
    <w:qFormat/>
    <w:rsid w:val="00992540"/>
    <w:pPr>
      <w:widowControl/>
      <w:bidi w:val="0"/>
      <w:spacing w:before="0" w:after="0"/>
      <w:ind w:hanging="0"/>
      <w:jc w:val="left"/>
    </w:pPr>
    <w:rPr>
      <w:rFonts w:ascii="Times New Roman" w:hAnsi="Times New Roman" w:eastAsia="Calibri" w:cs="" w:cstheme="minorBidi" w:eastAsiaTheme="minorHAnsi"/>
      <w:color w:val="auto"/>
      <w:kern w:val="0"/>
      <w:sz w:val="24"/>
      <w:szCs w:val="24"/>
      <w:lang w:val="ru-RU" w:eastAsia="en-US" w:bidi="ar-SA"/>
    </w:rPr>
  </w:style>
  <w:style w:type="paragraph" w:styleId="Style36">
    <w:name w:val="Содержимое таблицы"/>
    <w:basedOn w:val="Normal"/>
    <w:qFormat/>
    <w:pPr>
      <w:widowControl w:val="false"/>
      <w:suppressLineNumbers/>
    </w:pPr>
    <w:rPr/>
  </w:style>
  <w:style w:type="paragraph" w:styleId="Style37">
    <w:name w:val="Заголовок таблицы"/>
    <w:basedOn w:val="Style36"/>
    <w:qFormat/>
    <w:pPr>
      <w:suppressLineNumbers/>
      <w:jc w:val="center"/>
    </w:pPr>
    <w:rPr>
      <w:b/>
      <w:bCs/>
    </w:rPr>
  </w:style>
  <w:style w:type="numbering" w:styleId="NoList" w:default="1">
    <w:name w:val="No List"/>
    <w:uiPriority w:val="99"/>
    <w:semiHidden/>
    <w:unhideWhenUsed/>
    <w:qFormat/>
  </w:style>
  <w:style w:type="numbering" w:styleId="Style38" w:customStyle="1">
    <w:name w:val="Список источников"/>
    <w:uiPriority w:val="99"/>
    <w:qFormat/>
    <w:rsid w:val="00314f0f"/>
  </w:style>
  <w:style w:type="table" w:default="1" w:styleId="a4">
    <w:name w:val="Normal Table"/>
    <w:uiPriority w:val="99"/>
    <w:semiHidden/>
    <w:unhideWhenUsed/>
    <w:tblPr>
      <w:tblCellMar>
        <w:top w:w="0" w:type="dxa"/>
        <w:left w:w="108" w:type="dxa"/>
        <w:bottom w:w="0" w:type="dxa"/>
        <w:right w:w="108" w:type="dxa"/>
      </w:tblCellMar>
    </w:tblPr>
  </w:style>
  <w:style w:type="table" w:styleId="ad">
    <w:name w:val="Table Grid"/>
    <w:basedOn w:val="a4"/>
    <w:uiPriority w:val="39"/>
    <w:rsid w:val="00fd1093"/>
    <w:pPr>
      <w:spacing w:after="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footer" Target="footer1.xml"/><Relationship Id="rId5" Type="http://schemas.openxmlformats.org/officeDocument/2006/relationships/image" Target="media/image3.jpeg"/><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image" Target="media/image4.jpeg"/><Relationship Id="rId9" Type="http://schemas.openxmlformats.org/officeDocument/2006/relationships/hyperlink" Target="https://ri.eias.ru/" TargetMode="External"/><Relationship Id="rId10" Type="http://schemas.openxmlformats.org/officeDocument/2006/relationships/image" Target="media/image5.jpeg"/><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image" Target="media/image6.jpeg"/><Relationship Id="rId14" Type="http://schemas.openxmlformats.org/officeDocument/2006/relationships/footer" Target="footer6.xml"/><Relationship Id="rId15" Type="http://schemas.openxmlformats.org/officeDocument/2006/relationships/footer" Target="footer7.xml"/><Relationship Id="rId16" Type="http://schemas.openxmlformats.org/officeDocument/2006/relationships/image" Target="media/image7.jpeg"/><Relationship Id="rId17" Type="http://schemas.openxmlformats.org/officeDocument/2006/relationships/footer" Target="footer8.xml"/><Relationship Id="rId18" Type="http://schemas.openxmlformats.org/officeDocument/2006/relationships/footer" Target="footer9.xml"/><Relationship Id="rId19" Type="http://schemas.openxmlformats.org/officeDocument/2006/relationships/image" Target="media/image8.jpeg"/><Relationship Id="rId20" Type="http://schemas.openxmlformats.org/officeDocument/2006/relationships/image" Target="media/image9.jpeg"/><Relationship Id="rId21" Type="http://schemas.openxmlformats.org/officeDocument/2006/relationships/footer" Target="footer10.xml"/><Relationship Id="rId22" Type="http://schemas.openxmlformats.org/officeDocument/2006/relationships/footer" Target="footer11.xml"/><Relationship Id="rId23" Type="http://schemas.openxmlformats.org/officeDocument/2006/relationships/image" Target="media/image10.jpe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footer" Target="footer12.xml"/><Relationship Id="rId28" Type="http://schemas.openxmlformats.org/officeDocument/2006/relationships/footer" Target="footer13.xml"/><Relationship Id="rId29" Type="http://schemas.openxmlformats.org/officeDocument/2006/relationships/footer" Target="footer14.xml"/><Relationship Id="rId30" Type="http://schemas.openxmlformats.org/officeDocument/2006/relationships/footer" Target="footer15.xml"/><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footer" Target="footer16.xml"/><Relationship Id="rId36" Type="http://schemas.openxmlformats.org/officeDocument/2006/relationships/footer" Target="footer17.xml"/><Relationship Id="rId37" Type="http://schemas.openxmlformats.org/officeDocument/2006/relationships/footer" Target="footer18.xml"/><Relationship Id="rId38" Type="http://schemas.openxmlformats.org/officeDocument/2006/relationships/footer" Target="footer19.xml"/><Relationship Id="rId39" Type="http://schemas.openxmlformats.org/officeDocument/2006/relationships/footer" Target="footer20.xml"/><Relationship Id="rId40" Type="http://schemas.openxmlformats.org/officeDocument/2006/relationships/footer" Target="footer21.xml"/><Relationship Id="rId41" Type="http://schemas.openxmlformats.org/officeDocument/2006/relationships/footer" Target="footer22.xml"/><Relationship Id="rId42" Type="http://schemas.openxmlformats.org/officeDocument/2006/relationships/footer" Target="footer23.xml"/><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jpe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png"/><Relationship Id="rId60" Type="http://schemas.openxmlformats.org/officeDocument/2006/relationships/image" Target="media/image35.png"/><Relationship Id="rId61" Type="http://schemas.openxmlformats.org/officeDocument/2006/relationships/image" Target="media/image36.png"/><Relationship Id="rId62" Type="http://schemas.openxmlformats.org/officeDocument/2006/relationships/image" Target="media/image37.png"/><Relationship Id="rId63" Type="http://schemas.openxmlformats.org/officeDocument/2006/relationships/image" Target="media/image38.png"/><Relationship Id="rId64" Type="http://schemas.openxmlformats.org/officeDocument/2006/relationships/image" Target="media/image39.png"/><Relationship Id="rId65" Type="http://schemas.openxmlformats.org/officeDocument/2006/relationships/hyperlink" Target="https://ri.eias.ru/" TargetMode="External"/><Relationship Id="rId66" Type="http://schemas.openxmlformats.org/officeDocument/2006/relationships/footer" Target="footer24.xml"/><Relationship Id="rId67" Type="http://schemas.openxmlformats.org/officeDocument/2006/relationships/footer" Target="footer25.xml"/><Relationship Id="rId68" Type="http://schemas.openxmlformats.org/officeDocument/2006/relationships/footer" Target="footer26.xml"/><Relationship Id="rId69" Type="http://schemas.openxmlformats.org/officeDocument/2006/relationships/footer" Target="footer27.xml"/><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footer" Target="footer28.xml"/><Relationship Id="rId73" Type="http://schemas.openxmlformats.org/officeDocument/2006/relationships/footer" Target="footer29.xml"/><Relationship Id="rId74" Type="http://schemas.openxmlformats.org/officeDocument/2006/relationships/footer" Target="footer30.xml"/><Relationship Id="rId75" Type="http://schemas.openxmlformats.org/officeDocument/2006/relationships/footer" Target="footer31.xml"/><Relationship Id="rId76" Type="http://schemas.openxmlformats.org/officeDocument/2006/relationships/image" Target="media/image42.png"/><Relationship Id="rId77" Type="http://schemas.openxmlformats.org/officeDocument/2006/relationships/footer" Target="footer32.xml"/><Relationship Id="rId78" Type="http://schemas.openxmlformats.org/officeDocument/2006/relationships/footer" Target="footer33.xml"/><Relationship Id="rId79" Type="http://schemas.openxmlformats.org/officeDocument/2006/relationships/footer" Target="footer34.xml"/><Relationship Id="rId80" Type="http://schemas.openxmlformats.org/officeDocument/2006/relationships/footer" Target="footer35.xml"/><Relationship Id="rId81" Type="http://schemas.openxmlformats.org/officeDocument/2006/relationships/footer" Target="footer36.xml"/><Relationship Id="rId82" Type="http://schemas.openxmlformats.org/officeDocument/2006/relationships/footer" Target="footer37.xml"/><Relationship Id="rId83" Type="http://schemas.openxmlformats.org/officeDocument/2006/relationships/footer" Target="footer38.xml"/><Relationship Id="rId84" Type="http://schemas.openxmlformats.org/officeDocument/2006/relationships/footer" Target="footer39.xml"/><Relationship Id="rId85" Type="http://schemas.openxmlformats.org/officeDocument/2006/relationships/footer" Target="footer40.xml"/><Relationship Id="rId86" Type="http://schemas.openxmlformats.org/officeDocument/2006/relationships/footer" Target="footer41.xml"/><Relationship Id="rId87" Type="http://schemas.openxmlformats.org/officeDocument/2006/relationships/footer" Target="footer42.xml"/><Relationship Id="rId88" Type="http://schemas.openxmlformats.org/officeDocument/2006/relationships/footer" Target="footer43.xml"/><Relationship Id="rId89" Type="http://schemas.openxmlformats.org/officeDocument/2006/relationships/footer" Target="footer44.xml"/><Relationship Id="rId90" Type="http://schemas.openxmlformats.org/officeDocument/2006/relationships/footer" Target="footer45.xml"/><Relationship Id="rId91" Type="http://schemas.openxmlformats.org/officeDocument/2006/relationships/footer" Target="footer46.xml"/><Relationship Id="rId92" Type="http://schemas.openxmlformats.org/officeDocument/2006/relationships/footer" Target="footer47.xml"/><Relationship Id="rId93" Type="http://schemas.openxmlformats.org/officeDocument/2006/relationships/numbering" Target="numbering.xml"/><Relationship Id="rId94" Type="http://schemas.openxmlformats.org/officeDocument/2006/relationships/fontTable" Target="fontTable.xml"/><Relationship Id="rId95" Type="http://schemas.openxmlformats.org/officeDocument/2006/relationships/settings" Target="settings.xml"/><Relationship Id="rId96" Type="http://schemas.openxmlformats.org/officeDocument/2006/relationships/theme" Target="theme/theme1.xml"/><Relationship Id="rId97"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A0FD3-E547-49A8-A683-2100C059D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Application>LibreOffice/7.5.6.2$Linux_X86_64 LibreOffice_project/50$Build-2</Application>
  <AppVersion>15.0000</AppVersion>
  <Pages>197</Pages>
  <Words>57241</Words>
  <Characters>344885</Characters>
  <CharactersWithSpaces>388712</CharactersWithSpaces>
  <Paragraphs>14228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2024-03-21T06:49:00Z</dcterms:created>
  <dc:creator>User-2</dc:creator>
  <dc:description/>
  <dc:language>ru-RU</dc:language>
  <cp:lastModifiedBy/>
  <cp:lastPrinted>2024-02-14T11:53:00Z</cp:lastPrinted>
  <dcterms:modified xsi:type="dcterms:W3CDTF">2024-07-30T16:40:23Z</dcterms:modified>
  <cp:revision>5</cp:revision>
  <dc:subject/>
  <dc:title/>
</cp:coreProperties>
</file>

<file path=docProps/custom.xml><?xml version="1.0" encoding="utf-8"?>
<Properties xmlns="http://schemas.openxmlformats.org/officeDocument/2006/custom-properties" xmlns:vt="http://schemas.openxmlformats.org/officeDocument/2006/docPropsVTypes"/>
</file>