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078B3D11" w:rsidR="00B00077" w:rsidRPr="00B00077" w:rsidRDefault="0083625E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ловьев Андрей Геннадье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6E6B6014" w:rsidR="00B00077" w:rsidRPr="00494A42" w:rsidRDefault="0083625E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02600900022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83625E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