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>И</w:t>
      </w:r>
      <w:r>
        <w:rPr>
          <w:sz w:val="24"/>
        </w:rPr>
        <w:t xml:space="preserve">нформация </w:t>
      </w:r>
    </w:p>
    <w:p w14:paraId="02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 xml:space="preserve">о результатах деятельности </w:t>
      </w:r>
      <w:r>
        <w:rPr>
          <w:sz w:val="24"/>
        </w:rPr>
        <w:t>комиссии по финансовому и экономическому мониторингу</w:t>
      </w:r>
    </w:p>
    <w:p w14:paraId="03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 xml:space="preserve">на территории </w:t>
      </w:r>
      <w:r>
        <w:rPr>
          <w:sz w:val="24"/>
        </w:rPr>
        <w:t xml:space="preserve">Беловского </w:t>
      </w:r>
      <w:r>
        <w:rPr>
          <w:sz w:val="24"/>
        </w:rPr>
        <w:t>городского округа</w:t>
      </w:r>
    </w:p>
    <w:p w14:paraId="04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 xml:space="preserve">по состоянию на </w:t>
      </w:r>
      <w:r>
        <w:rPr>
          <w:sz w:val="24"/>
        </w:rPr>
        <w:t>30</w:t>
      </w:r>
      <w:r>
        <w:rPr>
          <w:sz w:val="24"/>
        </w:rPr>
        <w:t>.09</w:t>
      </w:r>
      <w:r>
        <w:rPr>
          <w:sz w:val="24"/>
        </w:rPr>
        <w:t>.</w:t>
      </w:r>
      <w:r>
        <w:rPr>
          <w:sz w:val="24"/>
        </w:rPr>
        <w:t>2026</w:t>
      </w:r>
      <w:r>
        <w:rPr>
          <w:sz w:val="24"/>
        </w:rPr>
        <w:t>г</w:t>
      </w:r>
      <w:r>
        <w:rPr>
          <w:sz w:val="24"/>
        </w:rPr>
        <w:t>.</w:t>
      </w:r>
    </w:p>
    <w:p w14:paraId="05000000">
      <w:pPr>
        <w:spacing w:after="0"/>
        <w:ind w:firstLine="0" w:left="0"/>
        <w:jc w:val="center"/>
        <w:rPr>
          <w:sz w:val="24"/>
        </w:rPr>
      </w:pPr>
    </w:p>
    <w:tbl>
      <w:tblPr>
        <w:tblStyle w:val="Style_1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7"/>
        <w:gridCol w:w="6130"/>
        <w:gridCol w:w="2835"/>
      </w:tblGrid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z w:val="24"/>
              </w:rPr>
              <w:t>-сентябрь</w:t>
            </w:r>
          </w:p>
          <w:p w14:paraId="09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>
        <w:trPr>
          <w:trHeight w:hRule="atLeast" w:val="339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Количе</w:t>
            </w:r>
            <w:r>
              <w:rPr>
                <w:sz w:val="24"/>
              </w:rPr>
              <w:t>ство проведенных заседаний комиссии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Количество предприятий, </w:t>
            </w:r>
            <w:r>
              <w:rPr>
                <w:sz w:val="24"/>
              </w:rPr>
              <w:t>рассмотренных на заседаниях комиссии</w:t>
            </w:r>
            <w:r>
              <w:rPr>
                <w:sz w:val="24"/>
              </w:rPr>
              <w:t>, всего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в том числе: - убыточных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находящихся в стадии банкротства</w:t>
            </w:r>
            <w:r>
              <w:rPr>
                <w:sz w:val="24"/>
              </w:rPr>
              <w:t>/количество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-выплачивающих зарплату ниже МРОТ или значительно ниже среднеотраслевого уровня</w:t>
            </w:r>
            <w:r>
              <w:rPr>
                <w:sz w:val="24"/>
              </w:rPr>
              <w:t>/количество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физических лиц/количество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Эффективность принимаемых ме</w:t>
            </w:r>
            <w:r>
              <w:rPr>
                <w:sz w:val="24"/>
              </w:rPr>
              <w:t>р (результаты деятельности комиссии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, тыс. руб.</w:t>
            </w:r>
            <w:r>
              <w:rPr>
                <w:sz w:val="24"/>
              </w:rPr>
              <w:t>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98 822,5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умма погашенной просроченной задолженности по заработной плате, тыс.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8 594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spacing w:after="0"/>
              <w:ind w:firstLine="0" w:left="0"/>
              <w:rPr>
                <w:sz w:val="24"/>
                <w:highlight w:val="yellow"/>
              </w:rPr>
            </w:pPr>
            <w:r>
              <w:rPr>
                <w:sz w:val="24"/>
              </w:rPr>
              <w:t>- сумма погашенной задолженности по платежам в бюджеты (областной, местный), тыс.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23 313</w:t>
            </w:r>
          </w:p>
        </w:tc>
      </w:tr>
      <w:tr>
        <w:trPr>
          <w:trHeight w:hRule="atLeast" w:val="200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другое</w:t>
            </w:r>
            <w:r>
              <w:rPr>
                <w:sz w:val="24"/>
              </w:rPr>
              <w:t xml:space="preserve"> (аренда)</w:t>
            </w:r>
            <w:r>
              <w:rPr>
                <w:sz w:val="24"/>
              </w:rPr>
              <w:t>, тыс.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66 915,5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z w:val="24"/>
              </w:rPr>
              <w:t xml:space="preserve"> рассмотрения убыточных предприятий: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spacing w:after="0"/>
              <w:ind w:firstLine="0" w:left="0"/>
              <w:jc w:val="center"/>
              <w:rPr>
                <w:sz w:val="24"/>
                <w:highlight w:val="yellow"/>
              </w:rPr>
            </w:pP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предоставлены уточненные декла</w:t>
            </w:r>
            <w:r>
              <w:rPr>
                <w:sz w:val="24"/>
              </w:rPr>
              <w:t>рации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spacing w:after="0"/>
              <w:ind w:firstLine="0" w:left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пред</w:t>
            </w:r>
            <w:r>
              <w:rPr>
                <w:sz w:val="24"/>
              </w:rPr>
              <w:t>ставлены мероприятия по выходу на безубыточный уровень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-вышли на безубыточный уровень работы:</w:t>
            </w:r>
          </w:p>
          <w:p w14:paraId="33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     в</w:t>
            </w:r>
            <w:r>
              <w:rPr>
                <w:sz w:val="24"/>
              </w:rPr>
              <w:t xml:space="preserve"> том числе получили прибыль</w:t>
            </w:r>
            <w:r>
              <w:rPr>
                <w:sz w:val="24"/>
              </w:rPr>
              <w:t>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numPr>
                <w:ilvl w:val="0"/>
                <w:numId w:val="1"/>
              </w:num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 отчетном периоде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numPr>
                <w:ilvl w:val="0"/>
                <w:numId w:val="1"/>
              </w:num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с учетом убытков прошлых лет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другое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hRule="atLeast" w:val="864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Результат рассмотрения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/п, выплачивающих зарплату ниже МРОТ или значительно ниже среднеотраслевого уровня</w:t>
            </w:r>
            <w:r>
              <w:rPr>
                <w:sz w:val="24"/>
              </w:rPr>
              <w:t>; имеющих нарушения при выплате з/пл: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spacing w:after="0"/>
              <w:ind w:firstLine="0" w:left="0"/>
              <w:jc w:val="center"/>
              <w:rPr>
                <w:sz w:val="24"/>
                <w:highlight w:val="yellow"/>
              </w:rPr>
            </w:pPr>
          </w:p>
        </w:tc>
      </w:tr>
      <w:tr>
        <w:trPr>
          <w:trHeight w:hRule="atLeast" w:val="293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увеличили уровень заработной платы (</w:t>
            </w:r>
            <w:r>
              <w:rPr>
                <w:sz w:val="24"/>
              </w:rPr>
              <w:t>кол-во п/п)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spacing w:after="0"/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направлены письма в правоохранительные органы</w:t>
            </w:r>
            <w:r>
              <w:rPr>
                <w:sz w:val="24"/>
              </w:rPr>
              <w:t xml:space="preserve"> (кол-во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установлен </w:t>
            </w:r>
            <w:r>
              <w:rPr>
                <w:sz w:val="24"/>
              </w:rPr>
              <w:t>неполный режим работы</w:t>
            </w:r>
            <w:r>
              <w:rPr>
                <w:sz w:val="24"/>
              </w:rPr>
              <w:t xml:space="preserve"> сотрудников (кол-во.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</w:tbl>
    <w:p w14:paraId="4A000000">
      <w:pPr>
        <w:tabs>
          <w:tab w:leader="none" w:pos="3591" w:val="left"/>
        </w:tabs>
        <w:ind/>
        <w:rPr>
          <w:sz w:val="24"/>
        </w:rPr>
      </w:pPr>
    </w:p>
    <w:sectPr>
      <w:type w:val="continuous"/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60"/>
      <w:ind w:firstLine="567" w:left="0"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alloon Text"/>
    <w:basedOn w:val="Style_2"/>
    <w:link w:val="Style_7_ch"/>
    <w:rPr>
      <w:rFonts w:ascii="Tahoma" w:hAnsi="Tahoma"/>
      <w:sz w:val="16"/>
    </w:rPr>
  </w:style>
  <w:style w:styleId="Style_7_ch" w:type="character">
    <w:name w:val="Balloon Text"/>
    <w:basedOn w:val="Style_2_ch"/>
    <w:link w:val="Style_7"/>
    <w:rPr>
      <w:rFonts w:ascii="Tahoma" w:hAnsi="Tahoma"/>
      <w:sz w:val="16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ind/>
      <w:outlineLvl w:val="0"/>
    </w:pPr>
    <w:rPr>
      <w:spacing w:val="20"/>
    </w:rPr>
  </w:style>
  <w:style w:styleId="Style_12_ch" w:type="character">
    <w:name w:val="heading 1"/>
    <w:basedOn w:val="Style_2_ch"/>
    <w:link w:val="Style_12"/>
    <w:rPr>
      <w:spacing w:val="20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4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2026-10-30T07:38:41Z</dcterms:modified>
</cp:coreProperties>
</file>