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СВОДНЫЙ ОТЧЕТ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 результатам публичных консультаций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</w:rPr>
        <w:t xml:space="preserve">Ссылка на проект: </w:t>
      </w:r>
      <w:r>
        <w:rPr>
          <w:rFonts w:cs="Times New Roman" w:ascii="Times New Roman" w:hAnsi="Times New Roman"/>
          <w:sz w:val="28"/>
          <w:szCs w:val="28"/>
          <w:u w:val="single"/>
        </w:rPr>
        <w:t>«</w:t>
      </w:r>
      <w:r>
        <w:rPr>
          <w:rFonts w:cs="Times New Roman" w:ascii="Times New Roman" w:hAnsi="Times New Roman"/>
          <w:bCs/>
          <w:sz w:val="28"/>
          <w:szCs w:val="28"/>
          <w:u w:val="single"/>
        </w:rPr>
        <w:t xml:space="preserve">Программа профилактики рисков причинения вреда (ущерба) охраняемым законом ценностям при осуществлении муниципального контроля </w:t>
      </w:r>
      <w:r>
        <w:rPr>
          <w:rFonts w:cs="Times New Roman" w:ascii="Times New Roman" w:hAnsi="Times New Roman"/>
          <w:bCs/>
          <w:sz w:val="28"/>
          <w:szCs w:val="28"/>
          <w:u w:val="single"/>
        </w:rPr>
        <w:t xml:space="preserve">на автомобильном транспорте, городском наземном электрическом транспорте и в дорожном хозяйстве </w:t>
      </w:r>
      <w:r>
        <w:rPr>
          <w:rFonts w:cs="Times New Roman" w:ascii="Times New Roman" w:hAnsi="Times New Roman"/>
          <w:bCs/>
          <w:sz w:val="28"/>
          <w:szCs w:val="28"/>
          <w:u w:val="single"/>
        </w:rPr>
        <w:t>в границах Беловского городского округа на 2025 год</w:t>
      </w:r>
      <w:r>
        <w:rPr>
          <w:rFonts w:cs="Times New Roman" w:ascii="Times New Roman" w:hAnsi="Times New Roman"/>
          <w:spacing w:val="2"/>
          <w:sz w:val="28"/>
          <w:szCs w:val="28"/>
          <w:u w:val="single"/>
        </w:rPr>
        <w:t>».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</w:rPr>
        <w:t xml:space="preserve">Сроки проведения публичных консультаций:  </w:t>
      </w:r>
      <w:r>
        <w:rPr>
          <w:rFonts w:cs="Times New Roman" w:ascii="Times New Roman" w:hAnsi="Times New Roman"/>
          <w:sz w:val="28"/>
          <w:szCs w:val="28"/>
          <w:u w:val="single"/>
        </w:rPr>
        <w:t>11.</w:t>
      </w:r>
      <w:r>
        <w:rPr>
          <w:rFonts w:cs="Times New Roman" w:ascii="Times New Roman" w:hAnsi="Times New Roman"/>
          <w:sz w:val="28"/>
          <w:szCs w:val="28"/>
          <w:u w:val="single"/>
        </w:rPr>
        <w:t>10</w:t>
      </w:r>
      <w:r>
        <w:rPr>
          <w:rFonts w:cs="Times New Roman" w:ascii="Times New Roman" w:hAnsi="Times New Roman"/>
          <w:sz w:val="28"/>
          <w:szCs w:val="28"/>
          <w:u w:val="single"/>
        </w:rPr>
        <w:t>.</w:t>
      </w:r>
      <w:r>
        <w:rPr>
          <w:rFonts w:cs="Times New Roman" w:ascii="Times New Roman" w:hAnsi="Times New Roman"/>
          <w:sz w:val="28"/>
          <w:szCs w:val="28"/>
          <w:u w:val="single"/>
        </w:rPr>
        <w:t>20</w:t>
      </w:r>
      <w:r>
        <w:rPr>
          <w:rFonts w:cs="Times New Roman" w:ascii="Times New Roman" w:hAnsi="Times New Roman"/>
          <w:sz w:val="28"/>
          <w:szCs w:val="28"/>
          <w:u w:val="single"/>
        </w:rPr>
        <w:t>24-25.10.</w:t>
      </w:r>
      <w:r>
        <w:rPr>
          <w:rFonts w:cs="Times New Roman" w:ascii="Times New Roman" w:hAnsi="Times New Roman"/>
          <w:sz w:val="28"/>
          <w:szCs w:val="28"/>
          <w:u w:val="single"/>
        </w:rPr>
        <w:t>20</w:t>
      </w:r>
      <w:r>
        <w:rPr>
          <w:rFonts w:cs="Times New Roman" w:ascii="Times New Roman" w:hAnsi="Times New Roman"/>
          <w:sz w:val="28"/>
          <w:szCs w:val="28"/>
          <w:u w:val="single"/>
        </w:rPr>
        <w:t>24.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  <w:u w:val="single"/>
        </w:rPr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Количество экспертов, участвовавших в обсуждении: </w:t>
      </w:r>
      <w:r>
        <w:rPr>
          <w:rFonts w:cs="Times New Roman" w:ascii="Times New Roman" w:hAnsi="Times New Roman"/>
          <w:sz w:val="28"/>
          <w:szCs w:val="28"/>
          <w:u w:val="single"/>
        </w:rPr>
        <w:t>замечаний и предложений в адрес уполномоченного органа и разработчика не поступало.</w:t>
      </w:r>
    </w:p>
    <w:p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Отчет сгенерирован: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Style w:val="a3"/>
        <w:tblW w:w="9571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2392"/>
        <w:gridCol w:w="2393"/>
        <w:gridCol w:w="2394"/>
        <w:gridCol w:w="2391"/>
      </w:tblGrid>
      <w:tr>
        <w:trPr/>
        <w:tc>
          <w:tcPr>
            <w:tcW w:w="2392" w:type="dxa"/>
            <w:tcBorders/>
          </w:tcPr>
          <w:p>
            <w:pPr>
              <w:pStyle w:val="ConsPlusNormal"/>
              <w:widowControl w:val="false"/>
              <w:suppressAutoHyphens w:val="true"/>
              <w:spacing w:before="0" w:after="0"/>
              <w:ind w:left="0" w:right="0" w:hang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 xml:space="preserve">№ 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п/п</w:t>
            </w:r>
          </w:p>
        </w:tc>
        <w:tc>
          <w:tcPr>
            <w:tcW w:w="2393" w:type="dxa"/>
            <w:tcBorders/>
          </w:tcPr>
          <w:p>
            <w:pPr>
              <w:pStyle w:val="ConsPlusNormal"/>
              <w:widowControl w:val="false"/>
              <w:suppressAutoHyphens w:val="true"/>
              <w:spacing w:before="0" w:after="0"/>
              <w:ind w:left="0" w:right="0" w:hang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Участник обсуждения</w:t>
            </w:r>
          </w:p>
        </w:tc>
        <w:tc>
          <w:tcPr>
            <w:tcW w:w="2394" w:type="dxa"/>
            <w:tcBorders/>
          </w:tcPr>
          <w:p>
            <w:pPr>
              <w:pStyle w:val="ConsPlusNormal"/>
              <w:widowControl w:val="false"/>
              <w:suppressAutoHyphens w:val="true"/>
              <w:spacing w:before="0" w:after="0"/>
              <w:ind w:left="0" w:right="0" w:hang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Позиция участника обсуждения</w:t>
            </w:r>
          </w:p>
        </w:tc>
        <w:tc>
          <w:tcPr>
            <w:tcW w:w="2391" w:type="dxa"/>
            <w:tcBorders/>
          </w:tcPr>
          <w:p>
            <w:pPr>
              <w:pStyle w:val="ConsPlusNormal"/>
              <w:widowControl w:val="false"/>
              <w:suppressAutoHyphens w:val="true"/>
              <w:spacing w:before="0" w:after="0"/>
              <w:ind w:left="0" w:right="0" w:hang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Комментарии разработчика</w:t>
            </w:r>
          </w:p>
        </w:tc>
      </w:tr>
      <w:tr>
        <w:trPr/>
        <w:tc>
          <w:tcPr>
            <w:tcW w:w="2392" w:type="dxa"/>
            <w:tcBorders/>
          </w:tcPr>
          <w:p>
            <w:pPr>
              <w:pStyle w:val="ConsPlusNormal"/>
              <w:widowControl w:val="false"/>
              <w:suppressAutoHyphens w:val="true"/>
              <w:spacing w:before="0" w:after="0"/>
              <w:ind w:left="0" w:right="0" w:hang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393" w:type="dxa"/>
            <w:tcBorders/>
          </w:tcPr>
          <w:p>
            <w:pPr>
              <w:pStyle w:val="ConsPlusNormal"/>
              <w:widowControl w:val="false"/>
              <w:suppressAutoHyphens w:val="true"/>
              <w:spacing w:before="0" w:after="0"/>
              <w:ind w:left="0" w:right="0" w:hang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нет</w:t>
            </w:r>
          </w:p>
        </w:tc>
        <w:tc>
          <w:tcPr>
            <w:tcW w:w="2394" w:type="dxa"/>
            <w:tcBorders/>
          </w:tcPr>
          <w:p>
            <w:pPr>
              <w:pStyle w:val="ConsPlusNormal"/>
              <w:widowControl w:val="false"/>
              <w:suppressAutoHyphens w:val="true"/>
              <w:spacing w:before="0" w:after="0"/>
              <w:ind w:left="0" w:right="0" w:hang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391" w:type="dxa"/>
            <w:tcBorders/>
          </w:tcPr>
          <w:p>
            <w:pPr>
              <w:pStyle w:val="ConsPlusNormal"/>
              <w:widowControl w:val="false"/>
              <w:suppressAutoHyphens w:val="true"/>
              <w:spacing w:before="0" w:after="0"/>
              <w:ind w:left="0" w:right="0" w:hang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</w:tbl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Style w:val="a3"/>
        <w:tblW w:w="9571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7196"/>
        <w:gridCol w:w="2374"/>
      </w:tblGrid>
      <w:tr>
        <w:trPr/>
        <w:tc>
          <w:tcPr>
            <w:tcW w:w="7196" w:type="dxa"/>
            <w:tcBorders/>
          </w:tcPr>
          <w:p>
            <w:pPr>
              <w:pStyle w:val="ConsPlusNormal"/>
              <w:widowControl w:val="false"/>
              <w:suppressAutoHyphens w:val="true"/>
              <w:spacing w:before="0" w:after="0"/>
              <w:ind w:left="0" w:right="0" w:hang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Общее количество поступивших предложений</w:t>
            </w:r>
          </w:p>
        </w:tc>
        <w:tc>
          <w:tcPr>
            <w:tcW w:w="2374" w:type="dxa"/>
            <w:tcBorders/>
          </w:tcPr>
          <w:p>
            <w:pPr>
              <w:pStyle w:val="ConsPlusNormal"/>
              <w:widowControl w:val="false"/>
              <w:suppressAutoHyphens w:val="true"/>
              <w:spacing w:before="0" w:after="0"/>
              <w:ind w:left="0" w:right="0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-</w:t>
            </w:r>
          </w:p>
        </w:tc>
      </w:tr>
      <w:tr>
        <w:trPr/>
        <w:tc>
          <w:tcPr>
            <w:tcW w:w="7196" w:type="dxa"/>
            <w:tcBorders/>
          </w:tcPr>
          <w:p>
            <w:pPr>
              <w:pStyle w:val="ConsPlusNormal"/>
              <w:widowControl w:val="false"/>
              <w:suppressAutoHyphens w:val="true"/>
              <w:spacing w:before="0" w:after="0"/>
              <w:ind w:left="0" w:right="0" w:hang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Общее количество учтенных предложений</w:t>
            </w:r>
          </w:p>
        </w:tc>
        <w:tc>
          <w:tcPr>
            <w:tcW w:w="2374" w:type="dxa"/>
            <w:tcBorders/>
          </w:tcPr>
          <w:p>
            <w:pPr>
              <w:pStyle w:val="ConsPlusNormal"/>
              <w:widowControl w:val="false"/>
              <w:suppressAutoHyphens w:val="true"/>
              <w:spacing w:before="0" w:after="0"/>
              <w:ind w:left="0" w:right="0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-</w:t>
            </w:r>
          </w:p>
        </w:tc>
      </w:tr>
      <w:tr>
        <w:trPr/>
        <w:tc>
          <w:tcPr>
            <w:tcW w:w="7196" w:type="dxa"/>
            <w:tcBorders/>
          </w:tcPr>
          <w:p>
            <w:pPr>
              <w:pStyle w:val="ConsPlusNormal"/>
              <w:widowControl w:val="false"/>
              <w:suppressAutoHyphens w:val="true"/>
              <w:spacing w:before="0" w:after="0"/>
              <w:ind w:left="0" w:right="0" w:hang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Общее количество частично учтенных предложений</w:t>
            </w:r>
          </w:p>
        </w:tc>
        <w:tc>
          <w:tcPr>
            <w:tcW w:w="2374" w:type="dxa"/>
            <w:tcBorders/>
          </w:tcPr>
          <w:p>
            <w:pPr>
              <w:pStyle w:val="ConsPlusNormal"/>
              <w:widowControl w:val="false"/>
              <w:suppressAutoHyphens w:val="true"/>
              <w:spacing w:before="0" w:after="0"/>
              <w:ind w:left="0" w:right="0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-</w:t>
            </w:r>
          </w:p>
        </w:tc>
      </w:tr>
      <w:tr>
        <w:trPr/>
        <w:tc>
          <w:tcPr>
            <w:tcW w:w="7196" w:type="dxa"/>
            <w:tcBorders/>
          </w:tcPr>
          <w:p>
            <w:pPr>
              <w:pStyle w:val="ConsPlusNormal"/>
              <w:widowControl w:val="false"/>
              <w:suppressAutoHyphens w:val="true"/>
              <w:spacing w:before="0" w:after="0"/>
              <w:ind w:left="0" w:right="0" w:hang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Общее количество неучтенных предложений</w:t>
            </w:r>
          </w:p>
        </w:tc>
        <w:tc>
          <w:tcPr>
            <w:tcW w:w="2374" w:type="dxa"/>
            <w:tcBorders/>
          </w:tcPr>
          <w:p>
            <w:pPr>
              <w:pStyle w:val="ConsPlusNormal"/>
              <w:widowControl w:val="false"/>
              <w:suppressAutoHyphens w:val="true"/>
              <w:spacing w:before="0" w:after="0"/>
              <w:ind w:left="0" w:right="0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-</w:t>
            </w:r>
          </w:p>
        </w:tc>
      </w:tr>
    </w:tbl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Консультант-советник отдела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муниципального контроля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управления экономического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развития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Ю.В. Смирнова                             «25»  октября 2024       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8(38452)29948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91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539a8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PT Astra Serif" w:hAnsi="PT Astra Serif" w:eastAsia="Microsoft YaHei" w:cs="Arial Unicode M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ascii="PT Astra Serif" w:hAnsi="PT Astra Serif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ascii="PT Astra Serif" w:hAnsi="PT Astra Serif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/>
    </w:rPr>
  </w:style>
  <w:style w:type="paragraph" w:styleId="ConsPlusNormal" w:customStyle="1">
    <w:name w:val="ConsPlusNormal"/>
    <w:qFormat/>
    <w:rsid w:val="001254fe"/>
    <w:pPr>
      <w:widowControl w:val="false"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1254f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Application>LibreOffice/7.5.6.2$Linux_X86_64 LibreOffice_project/50$Build-2</Application>
  <AppVersion>15.0000</AppVersion>
  <Pages>1</Pages>
  <Words>108</Words>
  <Characters>849</Characters>
  <CharactersWithSpaces>973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2021-08-12T01:21:00Z</dcterms:created>
  <dc:creator>nachomk</dc:creator>
  <dc:description/>
  <dc:language>ru-RU</dc:language>
  <cp:lastModifiedBy/>
  <cp:lastPrinted>2025-10-22T13:12:54Z</cp:lastPrinted>
  <dcterms:modified xsi:type="dcterms:W3CDTF">2025-10-22T15:22:29Z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