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3540" w:firstLine="708"/>
        <w:jc w:val="center"/>
        <w:rPr>
          <w:color w:val="000000"/>
          <w:sz w:val="25"/>
          <w:szCs w:val="25"/>
        </w:rPr>
      </w:pPr>
      <w:r>
        <w:rPr>
          <w:sz w:val="28"/>
        </w:rPr>
        <w:t xml:space="preserve">                                </w:t>
      </w:r>
    </w:p>
    <w:p>
      <w:pPr>
        <w:pStyle w:val="Normal"/>
        <w:spacing w:before="0" w:after="0"/>
        <w:contextualSpacing/>
        <w:jc w:val="right"/>
        <w:rPr>
          <w:sz w:val="25"/>
          <w:szCs w:val="25"/>
        </w:rPr>
      </w:pPr>
      <w:r>
        <w:rPr>
          <w:rStyle w:val="Style16"/>
          <w:b w:val="false"/>
          <w:bCs/>
          <w:sz w:val="25"/>
          <w:szCs w:val="25"/>
        </w:rPr>
        <w:t>УТВЕРЖДЕНО</w:t>
      </w:r>
    </w:p>
    <w:p>
      <w:pPr>
        <w:pStyle w:val="Normal"/>
        <w:spacing w:before="0" w:after="0"/>
        <w:ind w:firstLine="698"/>
        <w:contextualSpacing/>
        <w:jc w:val="right"/>
        <w:rPr>
          <w:sz w:val="25"/>
          <w:szCs w:val="25"/>
        </w:rPr>
      </w:pPr>
      <w:r>
        <w:rPr>
          <w:rStyle w:val="Style16"/>
          <w:b w:val="false"/>
          <w:bCs/>
          <w:sz w:val="25"/>
          <w:szCs w:val="25"/>
        </w:rPr>
        <w:t>постановлением Администрации</w:t>
      </w:r>
    </w:p>
    <w:p>
      <w:pPr>
        <w:pStyle w:val="Normal"/>
        <w:spacing w:before="0" w:after="0"/>
        <w:ind w:firstLine="698"/>
        <w:contextualSpacing/>
        <w:jc w:val="right"/>
        <w:rPr>
          <w:sz w:val="25"/>
          <w:szCs w:val="25"/>
        </w:rPr>
      </w:pPr>
      <w:r>
        <w:rPr>
          <w:rStyle w:val="Style16"/>
          <w:b w:val="false"/>
          <w:bCs/>
          <w:sz w:val="25"/>
          <w:szCs w:val="25"/>
        </w:rPr>
        <w:t>Беловского городского округа</w:t>
      </w:r>
    </w:p>
    <w:p>
      <w:pPr>
        <w:pStyle w:val="Normal"/>
        <w:spacing w:before="0" w:after="0"/>
        <w:ind w:firstLine="698"/>
        <w:contextualSpacing/>
        <w:jc w:val="right"/>
        <w:rPr>
          <w:sz w:val="25"/>
          <w:szCs w:val="25"/>
          <w:u w:val="single"/>
        </w:rPr>
      </w:pPr>
      <w:r>
        <w:rPr>
          <w:rStyle w:val="Style16"/>
          <w:b w:val="false"/>
          <w:bCs/>
          <w:sz w:val="25"/>
          <w:szCs w:val="25"/>
        </w:rPr>
        <w:t>от ________________  № ______</w:t>
      </w:r>
    </w:p>
    <w:p>
      <w:pPr>
        <w:pStyle w:val="Normal"/>
        <w:ind w:left="4956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Программа </w:t>
      </w:r>
    </w:p>
    <w:p>
      <w:pPr>
        <w:pStyle w:val="Normal"/>
        <w:jc w:val="center"/>
        <w:rPr>
          <w:rFonts w:eastAsia="Calibri"/>
          <w:b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профилактики рисков причинения вреда (ущерба) охраняемым законом ценностям при осуществлении муниципального лесного контроля в границах Беловского городского округа на территории Беловского городского округа  на 2025 год</w:t>
      </w:r>
    </w:p>
    <w:p>
      <w:pPr>
        <w:pStyle w:val="Normal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Настоящая программа профилактики рисков причинения вреда (ущерба) охраняемым законом ценностям при осуществлении муниципального лесного контроля на территории Беловского городского округа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лесного контроля в границах Беловского городского округа (далее – муниципальный контроль).</w:t>
      </w:r>
    </w:p>
    <w:p>
      <w:pPr>
        <w:pStyle w:val="Normal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Органом муниципального контроля является Администрация Беловского городского округа в лице Управления по земельным ресурсам и муниципальному  имуществу (далее – Контрольный орган).  </w:t>
      </w:r>
    </w:p>
    <w:p>
      <w:pPr>
        <w:pStyle w:val="Normal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ind w:firstLine="708"/>
        <w:jc w:val="both"/>
        <w:rPr>
          <w:rFonts w:eastAsia="Calibri"/>
          <w:b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val="en-US" w:eastAsia="en-US"/>
        </w:rPr>
        <w:t>I</w:t>
      </w:r>
      <w:r>
        <w:rPr>
          <w:rFonts w:eastAsia="Calibri"/>
          <w:b/>
          <w:sz w:val="26"/>
          <w:szCs w:val="26"/>
          <w:lang w:eastAsia="en-US"/>
        </w:rPr>
        <w:t>. Анализ текущего состояния осуществления муниципального лесного контроля, описание текущего развития профилактической деятельности Администрации  Беловского городского округа, характеристика проблем, на решение которых направлена Программа</w:t>
      </w:r>
    </w:p>
    <w:p>
      <w:pPr>
        <w:pStyle w:val="Normal"/>
        <w:ind w:firstLine="708"/>
        <w:jc w:val="both"/>
        <w:rPr>
          <w:rFonts w:eastAsia="Calibri"/>
          <w:b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</w:r>
    </w:p>
    <w:p>
      <w:pPr>
        <w:pStyle w:val="Normal"/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Объектами муниципального лесного контроля (далее – объект контроля) являются:</w:t>
      </w:r>
    </w:p>
    <w:p>
      <w:pPr>
        <w:pStyle w:val="Normal"/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деятельность, действия (бездействия) граждан и организаций, 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(бездействия) контролируемых лиц в сфере лесного хозяйства:</w:t>
      </w:r>
    </w:p>
    <w:p>
      <w:pPr>
        <w:pStyle w:val="Normal"/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использование лесов;</w:t>
      </w:r>
    </w:p>
    <w:p>
      <w:pPr>
        <w:pStyle w:val="Normal"/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охрана лесов;</w:t>
      </w:r>
    </w:p>
    <w:p>
      <w:pPr>
        <w:pStyle w:val="Normal"/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защита лесов;</w:t>
      </w:r>
    </w:p>
    <w:p>
      <w:pPr>
        <w:pStyle w:val="Normal"/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воспроизводство лесов и лесоразведение;</w:t>
      </w:r>
    </w:p>
    <w:p>
      <w:pPr>
        <w:pStyle w:val="Normal"/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2) лесные участки, находящиеся в муниципальной собственности Беловского городского округа, которыми граждане и организации владеют и (или) пользуются и к которым предъявляются обязательные требования (далее производственные объекты).  </w:t>
      </w:r>
    </w:p>
    <w:p>
      <w:pPr>
        <w:pStyle w:val="Normal"/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видам объектов муниципального контроля – деятельность контролируемых лиц в сфере лесного хозяйства относятся:</w:t>
      </w:r>
    </w:p>
    <w:p>
      <w:pPr>
        <w:pStyle w:val="Normal"/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лесные участки, части лесных участков, на которых в том числе осуществляется деятельность по использованию, охране, защите, воспроизводству лесов и лесоразведению;</w:t>
      </w:r>
    </w:p>
    <w:p>
      <w:pPr>
        <w:pStyle w:val="Normal"/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средства предупреждения и тушения лесных пожаров;</w:t>
      </w:r>
    </w:p>
    <w:p>
      <w:pPr>
        <w:pStyle w:val="Normal"/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производственные объекты, в том числе стационарные объекты, оборудование, устройства, предметы, материалы, транспортные средства, связанные (задействованные) в осуществлении использования, охраны, защиты, воспроизводства лесов и лесоразведения.</w:t>
      </w:r>
    </w:p>
    <w:p>
      <w:pPr>
        <w:pStyle w:val="Pta000015"/>
        <w:shd w:val="clear" w:color="auto" w:fill="FFFFFF"/>
        <w:spacing w:lineRule="atLeast" w:line="326" w:beforeAutospacing="0" w:before="0" w:afterAutospacing="0" w:after="0"/>
        <w:ind w:firstLine="706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sz w:val="26"/>
          <w:szCs w:val="26"/>
        </w:rPr>
        <w:t xml:space="preserve">Предметом муниципального лесного контроля является соблюдение организациями и гражданами (далее - контролируемые лица) обязательных требований, установленных </w:t>
      </w:r>
      <w:r>
        <w:rPr>
          <w:rStyle w:val="Pta0000016"/>
          <w:rFonts w:cs="Calibri" w:ascii="Liberation Serif" w:hAnsi="Liberation Serif"/>
          <w:color w:val="000000"/>
          <w:sz w:val="26"/>
          <w:szCs w:val="26"/>
        </w:rPr>
        <w:t>в отношении лесных участков, находящихся в муниципальной собственности  Беловского городского округа,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– Кузбасса в области использования, охраны, защиты, воспроизводства лесов и лесоразведения, в том числе в области семеноводства в отношении семян лесных растений (далее – обязательные требования).</w:t>
      </w:r>
    </w:p>
    <w:p>
      <w:pPr>
        <w:pStyle w:val="Normal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Предметом муниципального лесного контроля является также исполнение решений, принимаемых по результатам контрольных мероприятий.</w:t>
      </w:r>
    </w:p>
    <w:p>
      <w:pPr>
        <w:pStyle w:val="ConsPlusNormal1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rFonts w:eastAsia="Calibri"/>
          <w:sz w:val="26"/>
          <w:szCs w:val="26"/>
          <w:lang w:eastAsia="en-US"/>
        </w:rPr>
        <w:t xml:space="preserve">Контролируемыми лицами, при осуществлении муниципального лесного контроля, являются </w:t>
      </w:r>
      <w:r>
        <w:rPr>
          <w:sz w:val="26"/>
          <w:szCs w:val="26"/>
        </w:rPr>
        <w:t>граждане и организации, деятельность, действия или результаты,  деятельности которых либо производственные объекты, находящиеся во владении и (или) в пользовании которых, подлежат муниципальному лесному  контролю.</w:t>
      </w:r>
    </w:p>
    <w:p>
      <w:pPr>
        <w:pStyle w:val="ConsPlusNormal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 гражданами понимаются физические лица - граждане Российской Федерации, иностранные граждане, лица без гражданства, в том числе осуществляющие предпринимательскую деятельность (индивидуальные предприниматели). Граждане, не осуществляющие предпринимательской деятельности, признаются контролируемыми лицами в случае владения и (или) пользования производственными объектами, являющимися объектами контроля в соответствии со </w:t>
      </w:r>
      <w:hyperlink w:anchor="Par238" w:tgtFrame="Статья 16. Объекты государственного контроля (надзора), муниципального контроля">
        <w:r>
          <w:rPr>
            <w:sz w:val="26"/>
            <w:szCs w:val="26"/>
          </w:rPr>
          <w:t>статьей 16</w:t>
        </w:r>
      </w:hyperlink>
      <w:r>
        <w:rPr>
          <w:sz w:val="26"/>
          <w:szCs w:val="26"/>
        </w:rPr>
        <w:t xml:space="preserve"> Федерального закона  от 31.07.2020 № 248-ФЗ «О государственном контроле (надзоре) и муниципальном контроле в Российской Федерации», за исключением жилых помещений, если иное регулирование в отношении жилых помещений не предусмотрено федеральным законом о виде контроля. </w:t>
      </w:r>
    </w:p>
    <w:p>
      <w:pPr>
        <w:pStyle w:val="ConsPlusNormal1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Под организациями понимаются зарегистрированные в установленном законом порядке юридические лица, их обособленные подразделения, а также иные организации, в том числе иностранные, объединения и их подразделения, не являющиеся юридическими лицами, если в соответствии с нормативными правовыми актами, устанавливающими обязательные требования, субъектами правоотношений являются организации, не являющиеся юридическими лицами.</w:t>
      </w:r>
    </w:p>
    <w:p>
      <w:pPr>
        <w:pStyle w:val="Normal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Система оценки и управления рисками при осуществлении муниципального лесного контроля не применяется.</w:t>
      </w:r>
    </w:p>
    <w:p>
      <w:pPr>
        <w:pStyle w:val="Normal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Главной задачей контрольного органа  при осуществлении муниципального лесного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709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В  202</w:t>
      </w:r>
      <w:r>
        <w:rPr>
          <w:spacing w:val="1"/>
          <w:sz w:val="26"/>
          <w:szCs w:val="26"/>
        </w:rPr>
        <w:t xml:space="preserve">5 </w:t>
      </w:r>
      <w:r>
        <w:rPr>
          <w:spacing w:val="1"/>
          <w:sz w:val="26"/>
          <w:szCs w:val="26"/>
        </w:rPr>
        <w:t xml:space="preserve"> году  плановые проверки не проводились.</w:t>
      </w:r>
      <w:r>
        <w:rPr>
          <w:sz w:val="26"/>
          <w:szCs w:val="26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709"/>
        <w:jc w:val="both"/>
        <w:rPr>
          <w:rStyle w:val="Style15"/>
          <w:i w:val="false"/>
          <w:i w:val="false"/>
          <w:sz w:val="26"/>
          <w:szCs w:val="26"/>
        </w:rPr>
      </w:pPr>
      <w:r>
        <w:rPr>
          <w:rStyle w:val="Style15"/>
          <w:i w:val="false"/>
          <w:sz w:val="26"/>
          <w:szCs w:val="26"/>
        </w:rPr>
        <w:t>В  202</w:t>
      </w:r>
      <w:r>
        <w:rPr>
          <w:rStyle w:val="Style15"/>
          <w:i w:val="false"/>
          <w:sz w:val="26"/>
          <w:szCs w:val="26"/>
        </w:rPr>
        <w:t xml:space="preserve">5 </w:t>
      </w:r>
      <w:r>
        <w:rPr>
          <w:rStyle w:val="Style15"/>
          <w:i w:val="false"/>
          <w:sz w:val="26"/>
          <w:szCs w:val="26"/>
        </w:rPr>
        <w:t xml:space="preserve"> году  в целях профилактики нарушений обязательных требований на официальном сайте </w:t>
      </w:r>
      <w:r>
        <w:rPr>
          <w:sz w:val="26"/>
          <w:szCs w:val="26"/>
        </w:rPr>
        <w:t xml:space="preserve">Администрации Беловского городского округа </w:t>
      </w:r>
      <w:r>
        <w:rPr>
          <w:rStyle w:val="Style15"/>
          <w:i w:val="false"/>
          <w:sz w:val="26"/>
          <w:szCs w:val="26"/>
        </w:rPr>
        <w:t>в информационно-телекоммуникационной сети «Интернет» обеспечено размещение информации в отношении проведения муниципального лесного  контроля, в том числе перечень обязательных требований, обобщение практики, разъяснения, полезная информация.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709"/>
        <w:jc w:val="both"/>
        <w:rPr>
          <w:rStyle w:val="Style15"/>
          <w:i w:val="false"/>
          <w:i w:val="false"/>
          <w:sz w:val="26"/>
          <w:szCs w:val="26"/>
        </w:rPr>
      </w:pPr>
      <w:r>
        <w:rPr>
          <w:rStyle w:val="Style15"/>
          <w:i w:val="false"/>
          <w:sz w:val="26"/>
          <w:szCs w:val="26"/>
        </w:rPr>
        <w:t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«Интернет».</w:t>
      </w:r>
    </w:p>
    <w:p>
      <w:pPr>
        <w:pStyle w:val="Normal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Деятельность Контрольного органа в 202</w:t>
      </w:r>
      <w:r>
        <w:rPr>
          <w:rFonts w:eastAsia="Calibri"/>
          <w:sz w:val="26"/>
          <w:szCs w:val="26"/>
          <w:lang w:eastAsia="en-US"/>
        </w:rPr>
        <w:t xml:space="preserve">6 </w:t>
      </w:r>
      <w:r>
        <w:rPr>
          <w:rFonts w:eastAsia="Calibri"/>
          <w:sz w:val="26"/>
          <w:szCs w:val="26"/>
          <w:lang w:eastAsia="en-US"/>
        </w:rPr>
        <w:t xml:space="preserve"> году   направлена на решении следующих проблем: стимулирование добросовестного соблюдения обязательных требований подконтрольными лицами; проведение профилактических мероприятий, направленных на снижение риска причинения вреда (ущерба) охраняемым законом ценностям. </w:t>
      </w:r>
    </w:p>
    <w:p>
      <w:pPr>
        <w:pStyle w:val="Normal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ind w:firstLine="709"/>
        <w:jc w:val="center"/>
        <w:rPr>
          <w:rFonts w:eastAsia="Calibri"/>
          <w:b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val="en-US" w:eastAsia="en-US"/>
        </w:rPr>
        <w:t>II</w:t>
      </w:r>
      <w:r>
        <w:rPr>
          <w:rFonts w:eastAsia="Calibri"/>
          <w:b/>
          <w:sz w:val="26"/>
          <w:szCs w:val="26"/>
          <w:lang w:eastAsia="en-US"/>
        </w:rPr>
        <w:t>.</w:t>
      </w:r>
      <w:r>
        <w:rPr>
          <w:b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  <w:lang w:eastAsia="en-US"/>
        </w:rPr>
        <w:t>Цели и задачи реализации Программы</w:t>
      </w:r>
    </w:p>
    <w:p>
      <w:pPr>
        <w:pStyle w:val="Normal"/>
        <w:ind w:firstLine="709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 Целями реализации Программы являются:</w:t>
      </w:r>
    </w:p>
    <w:p>
      <w:pPr>
        <w:pStyle w:val="Normal"/>
        <w:jc w:val="both"/>
        <w:rPr>
          <w:rFonts w:eastAsia="Calibri"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 xml:space="preserve">- </w:t>
      </w:r>
      <w:r>
        <w:rPr>
          <w:rFonts w:eastAsia="Calibri" w:eastAsiaTheme="minorHAnsi"/>
          <w:sz w:val="26"/>
          <w:szCs w:val="26"/>
          <w:lang w:eastAsia="en-US"/>
        </w:rPr>
        <w:t>стимулирование добросовестного соблюдения обязательных требований всеми контролируемыми лицами;</w:t>
      </w:r>
    </w:p>
    <w:p>
      <w:pPr>
        <w:pStyle w:val="Normal"/>
        <w:jc w:val="both"/>
        <w:rPr>
          <w:rFonts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/>
          <w:sz w:val="26"/>
          <w:szCs w:val="26"/>
          <w:lang w:eastAsia="en-US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>
      <w:pPr>
        <w:pStyle w:val="Normal"/>
        <w:jc w:val="both"/>
        <w:rPr>
          <w:rFonts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/>
          <w:sz w:val="26"/>
          <w:szCs w:val="26"/>
          <w:lang w:eastAsia="en-US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 Задачами реализации Программы являются:</w:t>
      </w:r>
    </w:p>
    <w:p>
      <w:pPr>
        <w:pStyle w:val="Normal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>
      <w:pPr>
        <w:pStyle w:val="Normal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>
      <w:pPr>
        <w:pStyle w:val="Normal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>
      <w:pPr>
        <w:pStyle w:val="Normal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>
      <w:pPr>
        <w:pStyle w:val="Normal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>
      <w:pPr>
        <w:pStyle w:val="Normal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формирование единого понимания обязательных требований у всех участников контрольно-надзорной деятельности;</w:t>
      </w:r>
    </w:p>
    <w:p>
      <w:pPr>
        <w:pStyle w:val="Normal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>
      <w:pPr>
        <w:pStyle w:val="Normal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снижение издержек контрольно-надзорной деятельности и административной нагрузки на контролируемых лиц.</w:t>
      </w:r>
    </w:p>
    <w:p>
      <w:pPr>
        <w:pStyle w:val="Normal"/>
        <w:rPr>
          <w:b/>
          <w:b/>
          <w:bCs/>
          <w:sz w:val="26"/>
          <w:szCs w:val="26"/>
          <w:highlight w:val="green"/>
        </w:rPr>
      </w:pPr>
      <w:r>
        <w:rPr>
          <w:b/>
          <w:bCs/>
          <w:sz w:val="26"/>
          <w:szCs w:val="26"/>
          <w:highlight w:val="green"/>
        </w:rPr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III. Перечень профилактических мероприятий, сроки</w:t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(периодичность) их проведения</w:t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 соответствии с Положением об осуществлении муниципального лесного контроля в границах Беловского городского округа утвержденным решением Совета народных депутатов Беловского городского округа от 22 сентября 2021 года №40/216-н, проводятся следующие профилактические мероприятия: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а) информирование;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обобщение правоприменительной практики;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в) объявление предостережения;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г) консультирование (по телефону, на личном приеме  либо в ходе проведения  профилактического мероприятия);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д) профилактический визит;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е) меры стимулирования добросовестности.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2. Перечень профилактических мероприятий с указанием сроков (периодичности) их проведения, ответственных за их осуществление, указаны в приложении к Программе.</w:t>
      </w:r>
    </w:p>
    <w:p>
      <w:pPr>
        <w:pStyle w:val="Normal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IV. Показатели результативности и эффективности Программы</w:t>
      </w:r>
    </w:p>
    <w:p>
      <w:pPr>
        <w:pStyle w:val="Normal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ind w:firstLine="709"/>
        <w:jc w:val="both"/>
        <w:rPr>
          <w:rStyle w:val="Style15"/>
          <w:i w:val="false"/>
          <w:i w:val="false"/>
          <w:sz w:val="26"/>
          <w:szCs w:val="26"/>
        </w:rPr>
      </w:pPr>
      <w:r>
        <w:rPr>
          <w:rStyle w:val="Style15"/>
          <w:i w:val="false"/>
          <w:sz w:val="26"/>
          <w:szCs w:val="26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>
      <w:pPr>
        <w:pStyle w:val="Normal"/>
        <w:ind w:firstLine="709"/>
        <w:jc w:val="both"/>
        <w:rPr>
          <w:rStyle w:val="Style15"/>
          <w:i w:val="false"/>
          <w:i w:val="false"/>
          <w:sz w:val="26"/>
          <w:szCs w:val="26"/>
        </w:rPr>
      </w:pPr>
      <w:r>
        <w:rPr>
          <w:rStyle w:val="Style15"/>
          <w:i w:val="false"/>
          <w:sz w:val="26"/>
          <w:szCs w:val="26"/>
        </w:rPr>
        <w:t>а) количество проведенных профилактических мероприятий;</w:t>
      </w:r>
    </w:p>
    <w:p>
      <w:pPr>
        <w:pStyle w:val="Normal"/>
        <w:ind w:firstLine="709"/>
        <w:jc w:val="both"/>
        <w:rPr>
          <w:rStyle w:val="Style15"/>
          <w:i w:val="false"/>
          <w:i w:val="false"/>
          <w:sz w:val="26"/>
          <w:szCs w:val="26"/>
        </w:rPr>
      </w:pPr>
      <w:r>
        <w:rPr>
          <w:rStyle w:val="Style15"/>
          <w:i w:val="false"/>
          <w:sz w:val="26"/>
          <w:szCs w:val="26"/>
        </w:rPr>
        <w:t>б) количество контролируемых лиц, в отношении которых проведены  профилактические мероприятия;</w:t>
      </w:r>
    </w:p>
    <w:p>
      <w:pPr>
        <w:pStyle w:val="Normal"/>
        <w:ind w:firstLine="709"/>
        <w:jc w:val="both"/>
        <w:rPr>
          <w:rStyle w:val="Style15"/>
          <w:i w:val="false"/>
          <w:i w:val="false"/>
          <w:sz w:val="26"/>
          <w:szCs w:val="26"/>
        </w:rPr>
      </w:pPr>
      <w:r>
        <w:rPr>
          <w:rStyle w:val="Style15"/>
          <w:i w:val="false"/>
          <w:sz w:val="26"/>
          <w:szCs w:val="26"/>
        </w:rPr>
        <w:t>в) сокращение количества контрольных (надзорных) мероприятий при увеличении профилактических мероприятий при одновременном сокращении  текущего  (улучшении) состояния подконтрольной  сферы;</w:t>
      </w:r>
    </w:p>
    <w:p>
      <w:pPr>
        <w:pStyle w:val="Normal"/>
        <w:ind w:firstLine="709"/>
        <w:jc w:val="both"/>
        <w:rPr>
          <w:rStyle w:val="Style15"/>
          <w:i w:val="false"/>
          <w:i w:val="false"/>
          <w:sz w:val="26"/>
          <w:szCs w:val="26"/>
        </w:rPr>
      </w:pPr>
      <w:r>
        <w:rPr>
          <w:rStyle w:val="Style15"/>
          <w:i w:val="false"/>
          <w:sz w:val="26"/>
          <w:szCs w:val="26"/>
        </w:rPr>
        <w:t>г) снижение количества однотипных и повторяющихся нарушений одним и тем же  подконтрольным объектом.</w:t>
      </w:r>
    </w:p>
    <w:p>
      <w:pPr>
        <w:pStyle w:val="Normal"/>
        <w:ind w:firstLine="709"/>
        <w:jc w:val="both"/>
        <w:rPr>
          <w:rStyle w:val="Style15"/>
          <w:i w:val="false"/>
          <w:i w:val="false"/>
          <w:sz w:val="26"/>
          <w:szCs w:val="26"/>
        </w:rPr>
      </w:pPr>
      <w:r>
        <w:rPr>
          <w:rStyle w:val="Style15"/>
          <w:i w:val="false"/>
          <w:sz w:val="26"/>
          <w:szCs w:val="26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>
      <w:pPr>
        <w:pStyle w:val="Normal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2. Сведения о достижении показателей результативности и эффективности Программы включаются Контрольным органом в состав доклада о виде муниципального контроля в соответствии со статьей 30 Федерального закона  </w:t>
      </w:r>
      <w:r>
        <w:rPr>
          <w:sz w:val="26"/>
          <w:szCs w:val="26"/>
          <w:lang w:eastAsia="zh-CN"/>
        </w:rPr>
        <w:t>от 31 июля 2020 года № 248-ФЗ</w:t>
      </w:r>
      <w:r>
        <w:rPr>
          <w:rFonts w:eastAsia="Calibri"/>
          <w:sz w:val="26"/>
          <w:szCs w:val="26"/>
          <w:lang w:eastAsia="en-US"/>
        </w:rPr>
        <w:t xml:space="preserve"> «О государственном контроле (надзоре) и муниципальном контроле в Российской Федерации» </w:t>
      </w:r>
    </w:p>
    <w:p>
      <w:pPr>
        <w:pStyle w:val="Normal"/>
        <w:ind w:right="-143" w:hanging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ind w:right="-143" w:hanging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ind w:right="-143" w:hanging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ind w:right="-143" w:hanging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ind w:right="-143" w:hanging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ind w:right="-143" w:hanging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ind w:right="-143" w:hanging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Приложение к </w:t>
      </w:r>
    </w:p>
    <w:p>
      <w:pPr>
        <w:pStyle w:val="Normal"/>
        <w:ind w:right="-143" w:hanging="0"/>
        <w:jc w:val="right"/>
        <w:rPr>
          <w:rFonts w:eastAsia="Calibri"/>
          <w:sz w:val="26"/>
          <w:szCs w:val="26"/>
          <w:lang w:eastAsia="en-US"/>
        </w:rPr>
      </w:pPr>
      <w:r>
        <w:rPr>
          <w:bCs/>
          <w:sz w:val="26"/>
          <w:szCs w:val="26"/>
        </w:rPr>
        <w:t>Программе</w:t>
      </w:r>
      <w:r>
        <w:rPr>
          <w:rFonts w:eastAsia="Calibri"/>
          <w:sz w:val="26"/>
          <w:szCs w:val="26"/>
          <w:lang w:eastAsia="en-US"/>
        </w:rPr>
        <w:t xml:space="preserve"> профилактики рисков </w:t>
      </w:r>
    </w:p>
    <w:p>
      <w:pPr>
        <w:pStyle w:val="Normal"/>
        <w:ind w:right="-143" w:hanging="0"/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причинения вреда (ущерба) охраняемым законом ценностям </w:t>
      </w:r>
    </w:p>
    <w:p>
      <w:pPr>
        <w:pStyle w:val="Normal"/>
        <w:ind w:right="-143" w:hanging="0"/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при осуществлении лесного муниципального контроля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Перечень профилактических мероприятий, </w:t>
      </w:r>
    </w:p>
    <w:p>
      <w:pPr>
        <w:pStyle w:val="Normal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сроки (периодичность) их проведения</w:t>
      </w:r>
    </w:p>
    <w:p>
      <w:pPr>
        <w:pStyle w:val="Normal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tbl>
      <w:tblPr>
        <w:tblW w:w="9782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8"/>
        <w:gridCol w:w="1558"/>
        <w:gridCol w:w="3260"/>
        <w:gridCol w:w="2835"/>
        <w:gridCol w:w="1561"/>
      </w:tblGrid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</w:r>
          </w:p>
          <w:p>
            <w:pPr>
              <w:pStyle w:val="Default"/>
              <w:widowControl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</w:r>
          </w:p>
          <w:p>
            <w:pPr>
              <w:pStyle w:val="Default"/>
              <w:widowControl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</w:r>
          </w:p>
          <w:p>
            <w:pPr>
              <w:pStyle w:val="Default"/>
              <w:widowControl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</w:r>
          </w:p>
          <w:p>
            <w:pPr>
              <w:pStyle w:val="Default"/>
              <w:widowControl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2"/>
                <w:szCs w:val="22"/>
              </w:rPr>
              <w:t>п/п</w:t>
            </w:r>
          </w:p>
          <w:p>
            <w:pPr>
              <w:pStyle w:val="Default"/>
              <w:widowControl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Вид 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36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ind w:firstLine="36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ind w:firstLine="36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ind w:firstLine="36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ind w:firstLine="3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Форма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Подразделение и (или) должностные лица Управления по земельным ресурсам и муниципальному имуществу Администрации Беловского городского округа, ответственные за реализацию мероприятия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Сроки (периодичность) их проведения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36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rPr/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Информирование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Начальник УЗРМИ АБГО, заместитель начальника УЗРМИ АБГО, специалисты отдела муниципального земельного контроля АБГО УЗРМИ АБГО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 мере необходимости в течение года</w:t>
            </w:r>
          </w:p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3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Публикация на сайте руководств по соблюдению обязательных требований в сфере лесного законодательства направлении их в адрес местной администрации уполномоченным федеральным органом исполнительной власти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Начальник УЗРМИ АБГО, заместитель начальника УЗРМИ АБГО, специалисты отдела муниципального земельного контроля АБГО УЗРМИ АБГО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 мере поступления</w:t>
            </w:r>
          </w:p>
        </w:tc>
      </w:tr>
      <w:tr>
        <w:trPr>
          <w:trHeight w:val="1771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3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 и поддержание в актуальном состоянии на официальном сайте в сети "Интернет" информации, перечень которой предусмотрен частью 3 статьи 46 Федерального закона № 248-ФЗ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Начальник УЗРМИ АБГО, заместитель начальника УЗРМИ АБГО, специалисты отдела муниципального земельного контроля АБГО УЗРМИ АБГО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 мере обновления</w:t>
            </w:r>
          </w:p>
        </w:tc>
      </w:tr>
      <w:tr>
        <w:trPr>
          <w:trHeight w:val="442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3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Обобщение правоприменительной практики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Обобщение и анализ правоприменительной практики контрольно-надзорной деятельности в сфере лесного законодательства с классификацией причин возникновения типовых нарушений обязательных требований и размещение утвержденного д</w:t>
            </w:r>
            <w:r>
              <w:rPr>
                <w:sz w:val="22"/>
                <w:szCs w:val="22"/>
              </w:rPr>
              <w:t>оклада о правоприменительной практике на официальном сайте Администрации Беловского городского округа в срок, не превышающий 7 рабочих дней со дня утверждения доклада.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Начальник УЗРМИ АБГО, заместитель начальника УЗРМИ АБГО, специалисты отдела муниципального земельного контроля АБГО УЗРМИ АБГО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Объявление предостережения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Начальник УЗРМИ АБГО, заместитель начальника УЗРМИ АБГО.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течение года (при наличии оснований)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3974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Консультирование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Проведение должностными лицами Управления по земельным ресурсам</w:t>
            </w:r>
            <w:r>
              <w:rPr>
                <w:rFonts w:eastAsia="Calibri"/>
                <w:i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и муниципальному имуществу Администрации Беловского городского  округа консультаций по вопросам:</w:t>
            </w:r>
          </w:p>
          <w:p>
            <w:pPr>
              <w:pStyle w:val="Normal"/>
              <w:widowControl w:val="false"/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Соблюдения требований лесного законодательства</w:t>
            </w:r>
          </w:p>
          <w:p>
            <w:pPr>
              <w:pStyle w:val="Normal"/>
              <w:widowControl w:val="false"/>
              <w:ind w:firstLine="34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Консультирование осуществляется посредствам </w:t>
            </w:r>
            <w:r>
              <w:rPr>
                <w:sz w:val="22"/>
                <w:szCs w:val="22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2">
              <w:r>
                <w:rPr>
                  <w:sz w:val="22"/>
                  <w:szCs w:val="22"/>
                </w:rPr>
                <w:t>законом</w:t>
              </w:r>
            </w:hyperlink>
            <w:r>
              <w:rPr>
                <w:sz w:val="22"/>
                <w:szCs w:val="22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Начальник УЗРМИ АБГО, заместитель начальника УЗРМИ АБГО, специалисты отдела муниципального земельного контроля АБГО УЗРМИ АБГО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течение года (при наличии оснований)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>
              <w:rPr>
                <w:rFonts w:eastAsia="Calibri"/>
                <w:sz w:val="22"/>
                <w:szCs w:val="22"/>
                <w:highlight w:val="yellow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Профилактический визит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Начальник УЗРМИ АБГО, заместитель начальника УЗРМИ АБГО, специалисты отдела муниципального земельного контроля АБГО УЗРМИ АБГО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Профилактические визиты подлежат проведению в течение года (при наличии оснований).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Обязательные профилактические визиты проводятся 2 раза в квартал</w:t>
            </w:r>
          </w:p>
          <w:p>
            <w:pPr>
              <w:pStyle w:val="Normal"/>
              <w:widowControl w:val="false"/>
              <w:rPr>
                <w:rFonts w:eastAsia="Calibri"/>
                <w:color w:val="FF0000"/>
                <w:sz w:val="22"/>
                <w:szCs w:val="22"/>
              </w:rPr>
            </w:pPr>
            <w:r>
              <w:rPr>
                <w:rFonts w:eastAsia="Calibri"/>
                <w:color w:val="FF0000"/>
                <w:sz w:val="22"/>
                <w:szCs w:val="22"/>
              </w:rPr>
            </w:r>
          </w:p>
        </w:tc>
      </w:tr>
    </w:tbl>
    <w:tbl>
      <w:tblPr>
        <w:tblW w:w="9782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8"/>
        <w:gridCol w:w="1557"/>
        <w:gridCol w:w="3260"/>
        <w:gridCol w:w="2835"/>
        <w:gridCol w:w="1562"/>
      </w:tblGrid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Меры стимурирования добросовестности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целях мотивации контролируемых лиц к соблюдению обязательных требований  проводятся мероприятия, направленные на нематериальное пообщрение добросовестных контролируемых лиц.</w:t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целях приаменения мер стимулированимя длбросовестности  контролируемых лиц Контрольтным органом может присваиваться  публичная оценка  уровня  соблюдения  обязательных требований.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Начальник УЗРМИ АБГО, заместитель начальника УЗРМИ АБГО, специалисты отдела муниципального земельного контроля АБГО УЗРМИ АБГО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 мере необходимости в течение года</w:t>
            </w:r>
          </w:p>
          <w:p>
            <w:pPr>
              <w:pStyle w:val="Normal"/>
              <w:widowControl w:val="false"/>
              <w:rPr>
                <w:rFonts w:eastAsia="Calibri"/>
                <w:color w:val="FF0000"/>
                <w:sz w:val="22"/>
                <w:szCs w:val="22"/>
              </w:rPr>
            </w:pPr>
            <w:r>
              <w:rPr>
                <w:rFonts w:eastAsia="Calibri"/>
                <w:color w:val="FF0000"/>
                <w:sz w:val="22"/>
                <w:szCs w:val="22"/>
              </w:rPr>
            </w:r>
          </w:p>
        </w:tc>
      </w:tr>
    </w:tbl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/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/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Заместитель Главы Беловского </w:t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городского округа по экономике, </w:t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финансам, налогам и собственности</w:t>
        <w:tab/>
        <w:tab/>
        <w:tab/>
        <w:tab/>
        <w:t xml:space="preserve">                        </w:t>
      </w:r>
      <w:r>
        <w:rPr>
          <w:color w:val="000000"/>
          <w:sz w:val="25"/>
          <w:szCs w:val="25"/>
        </w:rPr>
        <w:t>К.В. Хмелёва</w:t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shd w:val="clear" w:color="auto" w:fill="FFFFFF"/>
        <w:spacing w:before="0" w:after="0"/>
        <w:ind w:hanging="284"/>
        <w:contextualSpacing/>
        <w:jc w:val="both"/>
        <w:rPr>
          <w:color w:val="000000"/>
          <w:sz w:val="25"/>
          <w:szCs w:val="25"/>
        </w:rPr>
      </w:pPr>
      <w:r>
        <w:rPr/>
      </w:r>
    </w:p>
    <w:sectPr>
      <w:headerReference w:type="default" r:id="rId3"/>
      <w:type w:val="nextPage"/>
      <w:pgSz w:w="11906" w:h="16838"/>
      <w:pgMar w:left="1701" w:right="851" w:gutter="0" w:header="709" w:top="1134" w:footer="0" w:bottom="1134"/>
      <w:pgNumType w:start="3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Std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3128830"/>
    </w:sdtPr>
    <w:sdtContent>
      <w:p>
        <w:pPr>
          <w:pStyle w:val="Style25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b3ac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>
    <w:name w:val="Heading 1"/>
    <w:basedOn w:val="Normal"/>
    <w:link w:val="10"/>
    <w:uiPriority w:val="9"/>
    <w:qFormat/>
    <w:rsid w:val="00cf6a4c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unhideWhenUsed/>
    <w:rsid w:val="008b3acd"/>
    <w:rPr>
      <w:color w:val="0000FF" w:themeColor="hyperlink"/>
      <w:u w:val="single"/>
    </w:rPr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8b3acd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2 Знак"/>
    <w:basedOn w:val="DefaultParagraphFont"/>
    <w:link w:val="2"/>
    <w:qFormat/>
    <w:rsid w:val="00cd62a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Docrollbuttontext" w:customStyle="1">
    <w:name w:val="doc-roll__button-text"/>
    <w:basedOn w:val="DefaultParagraphFont"/>
    <w:qFormat/>
    <w:rsid w:val="005b0f7a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cf6a4c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ConsPlusNormal" w:customStyle="1">
    <w:name w:val="ConsPlusNormal Знак"/>
    <w:link w:val="ConsPlusNormal"/>
    <w:qFormat/>
    <w:rsid w:val="006509bd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5">
    <w:name w:val="Выделение"/>
    <w:qFormat/>
    <w:rsid w:val="006509bd"/>
    <w:rPr>
      <w:i/>
      <w:iCs/>
    </w:rPr>
  </w:style>
  <w:style w:type="character" w:styleId="Style16" w:customStyle="1">
    <w:name w:val="Цветовое выделение"/>
    <w:uiPriority w:val="99"/>
    <w:qFormat/>
    <w:rsid w:val="006509bd"/>
    <w:rPr>
      <w:b/>
      <w:bCs w:val="false"/>
      <w:color w:val="26282F"/>
    </w:rPr>
  </w:style>
  <w:style w:type="character" w:styleId="Pta0000016" w:customStyle="1">
    <w:name w:val="pt-a0-000016"/>
    <w:basedOn w:val="DefaultParagraphFont"/>
    <w:qFormat/>
    <w:rsid w:val="00864f19"/>
    <w:rPr/>
  </w:style>
  <w:style w:type="character" w:styleId="Style17" w:customStyle="1">
    <w:name w:val="Верхний колонтитул Знак"/>
    <w:basedOn w:val="DefaultParagraphFont"/>
    <w:link w:val="ab"/>
    <w:uiPriority w:val="99"/>
    <w:qFormat/>
    <w:rsid w:val="007a3cf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 w:customStyle="1">
    <w:name w:val="Нижний колонтитул Знак"/>
    <w:basedOn w:val="DefaultParagraphFont"/>
    <w:link w:val="ad"/>
    <w:uiPriority w:val="99"/>
    <w:semiHidden/>
    <w:qFormat/>
    <w:rsid w:val="007a3cf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8b3ac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0"/>
    <w:qFormat/>
    <w:rsid w:val="00cd62aa"/>
    <w:pPr>
      <w:spacing w:lineRule="auto" w:line="480" w:before="0" w:after="120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5b0f7a"/>
    <w:pPr>
      <w:spacing w:beforeAutospacing="1" w:afterAutospacing="1"/>
    </w:pPr>
    <w:rPr>
      <w:sz w:val="24"/>
      <w:szCs w:val="24"/>
    </w:rPr>
  </w:style>
  <w:style w:type="paragraph" w:styleId="Noindent" w:customStyle="1">
    <w:name w:val="no-indent"/>
    <w:basedOn w:val="Normal"/>
    <w:qFormat/>
    <w:rsid w:val="005b0f7a"/>
    <w:pPr>
      <w:spacing w:beforeAutospacing="1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979d7"/>
    <w:pPr>
      <w:spacing w:before="0" w:after="0"/>
      <w:ind w:left="720" w:hanging="0"/>
      <w:contextualSpacing/>
    </w:pPr>
    <w:rPr/>
  </w:style>
  <w:style w:type="paragraph" w:styleId="ConsPlusNormal1" w:customStyle="1">
    <w:name w:val="ConsPlusNormal"/>
    <w:link w:val="ConsPlusNormal0"/>
    <w:qFormat/>
    <w:rsid w:val="006509b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Default" w:customStyle="1">
    <w:name w:val="Default"/>
    <w:qFormat/>
    <w:rsid w:val="006509bd"/>
    <w:pPr>
      <w:widowControl/>
      <w:bidi w:val="0"/>
      <w:spacing w:lineRule="auto" w:line="240" w:before="0" w:after="0"/>
      <w:jc w:val="left"/>
    </w:pPr>
    <w:rPr>
      <w:rFonts w:ascii="Courier Std" w:hAnsi="Courier Std" w:eastAsia="Times New Roman" w:cs="Courier Std"/>
      <w:color w:val="000000"/>
      <w:kern w:val="0"/>
      <w:sz w:val="24"/>
      <w:szCs w:val="24"/>
      <w:lang w:eastAsia="ru-RU" w:val="ru-RU" w:bidi="ar-SA"/>
    </w:rPr>
  </w:style>
  <w:style w:type="paragraph" w:styleId="Pta000015" w:customStyle="1">
    <w:name w:val="pt-a-000015"/>
    <w:basedOn w:val="Normal"/>
    <w:qFormat/>
    <w:rsid w:val="00864f19"/>
    <w:pPr>
      <w:spacing w:beforeAutospacing="1" w:afterAutospacing="1"/>
    </w:pPr>
    <w:rPr>
      <w:sz w:val="24"/>
      <w:szCs w:val="24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ac"/>
    <w:uiPriority w:val="99"/>
    <w:unhideWhenUsed/>
    <w:rsid w:val="007a3cf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ae"/>
    <w:uiPriority w:val="99"/>
    <w:semiHidden/>
    <w:unhideWhenUsed/>
    <w:rsid w:val="007a3cf1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a14f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AB379AAFAA1D100E328F2BAF8EED5A2F2B76C9320D2F17931C22AAB6D3F68CA0190E3892E5C305E8C6BBD71DFE0039N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6C3A3-E19E-430C-AFF9-2F79D0F5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Application>LibreOffice/7.2.7.2$Linux_X86_64 LibreOffice_project/20$Build-2</Application>
  <AppVersion>15.0000</AppVersion>
  <Pages>7</Pages>
  <Words>1650</Words>
  <Characters>13012</Characters>
  <CharactersWithSpaces>14668</CharactersWithSpaces>
  <Paragraphs>119</Paragraphs>
  <Company>kzrmi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2023-09-07T09:55:00Z</dcterms:created>
  <dc:creator>zam3</dc:creator>
  <dc:description/>
  <dc:language>ru-RU</dc:language>
  <cp:lastModifiedBy/>
  <cp:lastPrinted>2024-11-29T01:35:00Z</cp:lastPrinted>
  <dcterms:modified xsi:type="dcterms:W3CDTF">2025-09-04T12:49:30Z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