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/>
      </w:pPr>
      <w:r>
        <w:rPr>
          <w:rFonts w:ascii="XO Thames" w:hAnsi="XO Thames"/>
          <w:b/>
          <w:sz w:val="20"/>
          <w:szCs w:val="20"/>
        </w:rPr>
        <w:t>ИНФОРМАЦИЯ</w:t>
      </w:r>
    </w:p>
    <w:p>
      <w:pPr>
        <w:pStyle w:val="Normal"/>
        <w:spacing w:lineRule="auto" w:line="240"/>
        <w:jc w:val="center"/>
        <w:rPr>
          <w:rFonts w:ascii="XO Thames" w:hAnsi="XO Thames"/>
        </w:rPr>
      </w:pPr>
      <w:r>
        <w:rPr>
          <w:rFonts w:ascii="XO Thames" w:hAnsi="XO Thames"/>
          <w:b/>
          <w:sz w:val="20"/>
          <w:szCs w:val="20"/>
        </w:rPr>
        <w:t xml:space="preserve">о проведенных контрольных, экспертно-аналитических и иных мероприятиях Контрольно-счетной палатой Беловского городского округа за </w:t>
      </w:r>
      <w:r>
        <w:rPr>
          <w:rFonts w:ascii="XO Thames" w:hAnsi="XO Thames"/>
          <w:b/>
          <w:sz w:val="24"/>
          <w:szCs w:val="24"/>
        </w:rPr>
        <w:t xml:space="preserve">2024 </w:t>
      </w:r>
      <w:r>
        <w:rPr>
          <w:rFonts w:ascii="XO Thames" w:hAnsi="XO Thames"/>
          <w:b/>
          <w:sz w:val="20"/>
          <w:szCs w:val="20"/>
        </w:rPr>
        <w:t>год</w:t>
      </w:r>
    </w:p>
    <w:tbl>
      <w:tblPr>
        <w:tblStyle w:val="Style_2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627"/>
        <w:gridCol w:w="7372"/>
      </w:tblGrid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Количество мероприятий, всего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контрольных;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экспертно-аналитических;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прочих</w:t>
            </w:r>
          </w:p>
        </w:tc>
        <w:tc>
          <w:tcPr>
            <w:tcW w:w="73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30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1.1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Плановых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29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1.2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Внеплановых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1.3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Камеральных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1.4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Выездных 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1.5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Встречных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Общая сумма проверенных средств, тыс. руб.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3 375 847,82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Сумма выявленных нарушений, тыс. руб.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69 326,94</w:t>
            </w:r>
          </w:p>
        </w:tc>
      </w:tr>
      <w:tr>
        <w:trPr>
          <w:trHeight w:val="1711" w:hRule="atLeast"/>
        </w:trPr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Наименования объектов контроля: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плановые контрольные мероприятия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плановые экспертно-аналитические мероприятия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внеплановые мероприятия</w:t>
            </w:r>
          </w:p>
        </w:tc>
        <w:tc>
          <w:tcPr>
            <w:tcW w:w="73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Детский сад № 110, Детский сад № 10, Школа № 19, МКУ «СЗ ЖКХ», УЗРМИ АБГО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СНД БГО, КСП БГО, АБГО, Управление культуры АБГО, УМПФКиС АБГО, Управление опеки и попечительства, Управление образования АБГО, КСЗН, УЗРМИ АБГО,  территориальные управления Администрации Беловского городского округа, Финуправление г. Белово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Администрация Беловского городского округа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Количество выявленных нарушений и недостатков, всего: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контрольные мероприятия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экспертно-аналитические мероприятия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276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78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5.1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Нарушения бюджетного законодательства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5.2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Нарушения порядка оформления, составления, ведения документов бухгалтерского (бюджетного) учета и отчетности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контрольные мероприятия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экспертно-аналитические мероприятия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78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5.3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Нарушения в сфере оплаты труда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5.4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Нарушения законодательства: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- о контрактной системе (44-ФЗ);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- о закупках ТРУ отдельными видами юридических лиц (223-ФЗ) 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252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5.5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Иные нарушения и недостатки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Количество должностных лиц, привлеченных к ответственности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66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Сведения о принятых мерах в отношении объектов контроля 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АБГО, школа № 19, МКУ «СЗ ЖКХ» выданы представления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По результатам представления возвращено в бюджет 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>2 040,49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0"/>
                <w:szCs w:val="20"/>
              </w:rPr>
              <w:t xml:space="preserve"> тыс. руб.</w:t>
            </w:r>
          </w:p>
        </w:tc>
      </w:tr>
    </w:tbl>
    <w:p>
      <w:pPr>
        <w:pStyle w:val="Normal"/>
        <w:spacing w:before="0" w:after="200"/>
        <w:rPr>
          <w:rFonts w:ascii="XO Thames" w:hAnsi="XO Thames"/>
        </w:rPr>
      </w:pPr>
      <w:r>
        <w:rPr>
          <w:rFonts w:ascii="XO Thames" w:hAnsi="XO Thames"/>
          <w:sz w:val="20"/>
          <w:szCs w:val="20"/>
        </w:rPr>
        <w:t>Предложения:  Усилить работу по осуществлению ведомственного и внутреннего муниципального финансового контроля</w:t>
      </w:r>
    </w:p>
    <w:p>
      <w:pPr>
        <w:pStyle w:val="Normal"/>
        <w:spacing w:before="0" w:after="200"/>
        <w:rPr>
          <w:sz w:val="20"/>
          <w:szCs w:val="20"/>
        </w:rPr>
      </w:pPr>
      <w:r>
        <w:rPr>
          <w:rFonts w:ascii="XO Thames" w:hAnsi="XO Thames"/>
        </w:rPr>
      </w:r>
    </w:p>
    <w:sectPr>
      <w:type w:val="nextPage"/>
      <w:pgSz w:orient="landscape" w:w="16838" w:h="11906"/>
      <w:pgMar w:left="1134" w:right="1134" w:gutter="0" w:header="0" w:top="164" w:footer="0" w:bottom="28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Arial Unicode MS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0"/>
    </w:pPr>
    <w:rPr>
      <w:rFonts w:ascii="XO Thames" w:hAnsi="XO Thames" w:eastAsia="Arial Unicode MS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Arial Unicode MS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2"/>
    </w:pPr>
    <w:rPr>
      <w:rFonts w:ascii="XO Thames" w:hAnsi="XO Thames" w:eastAsia="Arial Unicode MS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Arial Unicode MS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Arial Unicode MS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DefaultParagraphFont">
    <w:name w:val="Default Paragraph Font"/>
    <w:link w:val="DefaultParagraphFont1"/>
    <w:qFormat/>
    <w:rPr/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NoSpacing">
    <w:name w:val="No Spacing"/>
    <w:link w:val="NoSpacing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Arial Unicode M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Arial Unicode MS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Arial Unicode MS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Arial Unicode MS" w:cs="Arial Unicode M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Arial Unicode MS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Arial Unicode MS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200"/>
      <w:ind w:left="0" w:right="0" w:hanging="0"/>
      <w:jc w:val="both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Arial Unicode MS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next w:val="Normal"/>
    <w:uiPriority w:val="11"/>
    <w:qFormat/>
    <w:pPr>
      <w:widowControl/>
      <w:suppressAutoHyphens w:val="true"/>
      <w:bidi w:val="0"/>
      <w:spacing w:lineRule="auto" w:line="276" w:before="0" w:after="200"/>
      <w:ind w:left="0" w:right="0" w:hanging="0"/>
      <w:jc w:val="both"/>
    </w:pPr>
    <w:rPr>
      <w:rFonts w:ascii="XO Thames" w:hAnsi="XO Thames" w:eastAsia="Arial Unicode MS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suppressAutoHyphens w:val="true"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Arial Unicode MS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2">
    <w:name w:val="Table Grid"/>
    <w:basedOn w:val="Style_25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2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Application>LibreOffice/7.5.6.2$Linux_X86_64 LibreOffice_project/50$Build-2</Application>
  <AppVersion>15.0000</AppVersion>
  <Pages>1</Pages>
  <Words>253</Words>
  <Characters>1641</Characters>
  <CharactersWithSpaces>1823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2025-02-04T17:48:58Z</cp:lastPrinted>
  <dcterms:modified xsi:type="dcterms:W3CDTF">2025-02-04T17:49:09Z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